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6"/>
        <w:gridCol w:w="2907"/>
        <w:gridCol w:w="2907"/>
      </w:tblGrid>
      <w:tr>
        <w:trPr>
          <w:wBefore w:w="0" w:type="dxa"/>
          <w:wAfter w:w="0" w:type="dxa"/>
        </w:trPr>
        <w:tc>
          <w:tcPr>
            <w:tcW w:w="1666" w:type="pct"/>
            <w:noWrap w:val="0"/>
            <w:vAlign w:val="top"/>
          </w:tcPr>
          <w:p>
            <w:pPr>
              <w:adjustRightInd w:val="0"/>
              <w:snapToGrid w:val="0"/>
              <w:spacing w:line="440" w:lineRule="exact"/>
              <w:rPr>
                <w:sz w:val="24"/>
              </w:rPr>
            </w:pPr>
            <w:bookmarkStart w:id="1" w:name="_GoBack"/>
            <w:bookmarkEnd w:id="1"/>
            <w:r>
              <w:rPr>
                <w:sz w:val="24"/>
              </w:rPr>
              <w:t>证券代码：000881</w:t>
            </w:r>
          </w:p>
        </w:tc>
        <w:tc>
          <w:tcPr>
            <w:tcW w:w="1667" w:type="pct"/>
            <w:noWrap w:val="0"/>
            <w:vAlign w:val="top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证券简称：中广核技</w:t>
            </w:r>
          </w:p>
        </w:tc>
        <w:tc>
          <w:tcPr>
            <w:tcW w:w="1667" w:type="pct"/>
            <w:noWrap w:val="0"/>
            <w:vAlign w:val="top"/>
          </w:tcPr>
          <w:p>
            <w:pPr>
              <w:wordWrap w:val="0"/>
              <w:adjustRightInd w:val="0"/>
              <w:snapToGrid w:val="0"/>
              <w:spacing w:line="440" w:lineRule="exact"/>
              <w:jc w:val="right"/>
              <w:rPr>
                <w:sz w:val="24"/>
              </w:rPr>
            </w:pPr>
            <w:r>
              <w:rPr>
                <w:sz w:val="24"/>
              </w:rPr>
              <w:t>公告编号：202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sz w:val="24"/>
              </w:rPr>
              <w:t>-0</w:t>
            </w:r>
            <w:r>
              <w:rPr>
                <w:rFonts w:hint="eastAsia"/>
                <w:sz w:val="24"/>
                <w:lang w:val="en-US" w:eastAsia="zh-CN"/>
              </w:rPr>
              <w:t>36</w:t>
            </w:r>
            <w:r>
              <w:rPr>
                <w:sz w:val="24"/>
              </w:rPr>
              <w:t xml:space="preserve">  </w:t>
            </w:r>
          </w:p>
        </w:tc>
      </w:tr>
    </w:tbl>
    <w:p>
      <w:pPr>
        <w:snapToGrid w:val="0"/>
        <w:spacing w:before="156" w:beforeLines="5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中广核核技术发展股份有限公司</w:t>
      </w:r>
    </w:p>
    <w:p>
      <w:pPr>
        <w:snapToGrid w:val="0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202</w:t>
      </w:r>
      <w:r>
        <w:rPr>
          <w:rFonts w:hint="eastAsia"/>
          <w:b/>
          <w:sz w:val="36"/>
          <w:szCs w:val="36"/>
          <w:lang w:val="en-US" w:eastAsia="zh-CN"/>
        </w:rPr>
        <w:t>3</w:t>
      </w:r>
      <w:r>
        <w:rPr>
          <w:rFonts w:hint="eastAsia"/>
          <w:b/>
          <w:sz w:val="36"/>
          <w:szCs w:val="36"/>
        </w:rPr>
        <w:t>年年度股东大会</w:t>
      </w:r>
      <w:r>
        <w:rPr>
          <w:b/>
          <w:sz w:val="36"/>
          <w:szCs w:val="36"/>
        </w:rPr>
        <w:t>决议公告</w:t>
      </w:r>
    </w:p>
    <w:p>
      <w:pPr>
        <w:snapToGrid w:val="0"/>
        <w:spacing w:before="156" w:beforeLines="50" w:line="360" w:lineRule="auto"/>
        <w:ind w:firstLine="422" w:firstLineChars="200"/>
        <w:rPr>
          <w:b/>
          <w:szCs w:val="21"/>
        </w:rPr>
      </w:pPr>
      <w:r>
        <w:rPr>
          <w:b/>
          <w:szCs w:val="21"/>
        </w:rPr>
        <w:t>本公司及董事会全体成员保证信息披露的内容真实、准确、完整，没有虚假记载、误导性陈述或重大遗漏。</w:t>
      </w:r>
    </w:p>
    <w:p>
      <w:pPr>
        <w:snapToGrid w:val="0"/>
        <w:spacing w:line="440" w:lineRule="exact"/>
        <w:ind w:firstLine="482" w:firstLineChars="200"/>
        <w:rPr>
          <w:b/>
          <w:sz w:val="24"/>
        </w:rPr>
      </w:pPr>
      <w:r>
        <w:rPr>
          <w:b/>
          <w:sz w:val="24"/>
        </w:rPr>
        <w:t>特别提示：</w:t>
      </w:r>
    </w:p>
    <w:p>
      <w:pPr>
        <w:snapToGrid w:val="0"/>
        <w:spacing w:line="440" w:lineRule="exact"/>
        <w:ind w:firstLine="480" w:firstLineChars="200"/>
        <w:rPr>
          <w:sz w:val="24"/>
        </w:rPr>
      </w:pPr>
      <w:r>
        <w:rPr>
          <w:sz w:val="24"/>
        </w:rPr>
        <w:t>1、本次股东大会未出现否决议案的情形。</w:t>
      </w:r>
    </w:p>
    <w:p>
      <w:pPr>
        <w:snapToGrid w:val="0"/>
        <w:spacing w:line="440" w:lineRule="exact"/>
        <w:ind w:firstLine="480" w:firstLineChars="200"/>
        <w:rPr>
          <w:sz w:val="24"/>
        </w:rPr>
      </w:pPr>
      <w:r>
        <w:rPr>
          <w:sz w:val="24"/>
        </w:rPr>
        <w:t>2、</w:t>
      </w:r>
      <w:r>
        <w:rPr>
          <w:rFonts w:hint="eastAsia"/>
          <w:sz w:val="24"/>
        </w:rPr>
        <w:t>本次股东大会不涉及变更以往股东大会已通过的决议</w:t>
      </w:r>
      <w:r>
        <w:rPr>
          <w:sz w:val="24"/>
        </w:rPr>
        <w:t>。</w:t>
      </w:r>
    </w:p>
    <w:p>
      <w:pPr>
        <w:snapToGrid w:val="0"/>
        <w:spacing w:before="156" w:beforeLines="50" w:line="440" w:lineRule="exact"/>
        <w:ind w:firstLine="482" w:firstLineChars="200"/>
        <w:outlineLvl w:val="0"/>
        <w:rPr>
          <w:b/>
          <w:sz w:val="24"/>
        </w:rPr>
      </w:pPr>
      <w:r>
        <w:rPr>
          <w:b/>
          <w:sz w:val="24"/>
        </w:rPr>
        <w:t>一、会议召开和出席情况</w:t>
      </w:r>
    </w:p>
    <w:p>
      <w:pPr>
        <w:snapToGrid w:val="0"/>
        <w:spacing w:line="440" w:lineRule="exact"/>
        <w:ind w:firstLine="482" w:firstLineChars="200"/>
        <w:outlineLvl w:val="1"/>
        <w:rPr>
          <w:b/>
          <w:sz w:val="24"/>
        </w:rPr>
      </w:pPr>
      <w:r>
        <w:rPr>
          <w:b/>
          <w:sz w:val="24"/>
        </w:rPr>
        <w:t>（一）会议召开情况</w:t>
      </w:r>
    </w:p>
    <w:p>
      <w:pPr>
        <w:snapToGrid w:val="0"/>
        <w:spacing w:line="440" w:lineRule="exact"/>
        <w:ind w:firstLine="480" w:firstLineChars="200"/>
        <w:rPr>
          <w:sz w:val="24"/>
        </w:rPr>
      </w:pPr>
      <w:r>
        <w:rPr>
          <w:sz w:val="24"/>
        </w:rPr>
        <w:t>1、会议召开的日期、时间：</w:t>
      </w:r>
    </w:p>
    <w:p>
      <w:pPr>
        <w:pStyle w:val="24"/>
        <w:spacing w:line="440" w:lineRule="exact"/>
        <w:ind w:firstLine="480" w:firstLineChars="200"/>
        <w:rPr>
          <w:rFonts w:ascii="Times New Roman" w:cs="Times New Roman"/>
          <w:color w:val="auto"/>
          <w:kern w:val="2"/>
        </w:rPr>
      </w:pPr>
      <w:r>
        <w:rPr>
          <w:rFonts w:ascii="Times New Roman" w:cs="Times New Roman"/>
          <w:color w:val="auto"/>
          <w:kern w:val="2"/>
        </w:rPr>
        <w:t>（1）现场会议召开日期、时间：</w:t>
      </w:r>
      <w:r>
        <w:rPr>
          <w:rFonts w:hint="eastAsia" w:ascii="Times New Roman" w:cs="Times New Roman"/>
        </w:rPr>
        <w:t>2024年5月17日（星期五）下午2:30</w:t>
      </w:r>
      <w:r>
        <w:rPr>
          <w:rFonts w:hint="eastAsia"/>
        </w:rPr>
        <w:t>；</w:t>
      </w:r>
    </w:p>
    <w:p>
      <w:pPr>
        <w:pStyle w:val="24"/>
        <w:spacing w:line="440" w:lineRule="exact"/>
        <w:ind w:firstLine="480" w:firstLineChars="200"/>
        <w:jc w:val="both"/>
        <w:rPr>
          <w:rFonts w:hint="eastAsia" w:ascii="Times New Roman" w:cs="Times New Roman"/>
          <w:color w:val="auto"/>
          <w:kern w:val="2"/>
        </w:rPr>
      </w:pPr>
      <w:r>
        <w:rPr>
          <w:rFonts w:ascii="Times New Roman" w:cs="Times New Roman"/>
          <w:color w:val="auto"/>
          <w:kern w:val="2"/>
        </w:rPr>
        <w:t>（2）网络投票日期、时间：</w:t>
      </w:r>
      <w:r>
        <w:rPr>
          <w:rFonts w:hint="eastAsia" w:ascii="Times New Roman" w:cs="Times New Roman"/>
          <w:color w:val="auto"/>
          <w:kern w:val="2"/>
        </w:rPr>
        <w:t>通过深圳证券交易所交易系统进行网络投票的具体时间为：2024年5月17日上午9:15至9:25、9:30至11:30、下午1:00至3:00；通过深圳证券交易所互联网投票系统投票的具体时间为2024年5月17日上午9:15至下午3:00期间的任意时间。</w:t>
      </w:r>
    </w:p>
    <w:p>
      <w:pPr>
        <w:pStyle w:val="24"/>
        <w:spacing w:line="440" w:lineRule="exact"/>
        <w:ind w:firstLine="480" w:firstLineChars="200"/>
        <w:rPr>
          <w:rFonts w:ascii="Times New Roman" w:cs="Times New Roman"/>
          <w:color w:val="auto"/>
          <w:kern w:val="2"/>
        </w:rPr>
      </w:pPr>
      <w:r>
        <w:rPr>
          <w:rFonts w:ascii="Times New Roman" w:cs="Times New Roman"/>
          <w:color w:val="auto"/>
          <w:kern w:val="2"/>
        </w:rPr>
        <w:t>2、会议召开方式：本次股东大会采取现场投票与网络投票相结合的方式。</w:t>
      </w:r>
    </w:p>
    <w:p>
      <w:pPr>
        <w:snapToGrid w:val="0"/>
        <w:spacing w:line="440" w:lineRule="exact"/>
        <w:ind w:firstLine="480" w:firstLineChars="200"/>
        <w:rPr>
          <w:sz w:val="24"/>
        </w:rPr>
      </w:pPr>
      <w:r>
        <w:rPr>
          <w:sz w:val="24"/>
        </w:rPr>
        <w:t>3、现场会议召开地点：</w:t>
      </w:r>
      <w:r>
        <w:rPr>
          <w:rFonts w:hint="eastAsia"/>
          <w:sz w:val="24"/>
        </w:rPr>
        <w:t>深圳市福田区深南大道2002号中广核大厦北楼19层881会议室。</w:t>
      </w:r>
    </w:p>
    <w:p>
      <w:pPr>
        <w:snapToGrid w:val="0"/>
        <w:spacing w:line="440" w:lineRule="exact"/>
        <w:ind w:firstLine="480" w:firstLineChars="200"/>
        <w:rPr>
          <w:sz w:val="24"/>
        </w:rPr>
      </w:pPr>
      <w:r>
        <w:rPr>
          <w:sz w:val="24"/>
        </w:rPr>
        <w:t>4、召集人：公司董事会。</w:t>
      </w:r>
    </w:p>
    <w:p>
      <w:pPr>
        <w:snapToGrid w:val="0"/>
        <w:spacing w:line="440" w:lineRule="exact"/>
        <w:ind w:firstLine="480" w:firstLineChars="200"/>
        <w:rPr>
          <w:sz w:val="24"/>
        </w:rPr>
      </w:pPr>
      <w:r>
        <w:rPr>
          <w:sz w:val="24"/>
        </w:rPr>
        <w:t>5、主持人：董事长</w:t>
      </w:r>
      <w:r>
        <w:rPr>
          <w:rFonts w:hint="eastAsia"/>
          <w:sz w:val="24"/>
          <w:lang w:val="en-US" w:eastAsia="zh-CN"/>
        </w:rPr>
        <w:t>李勇先生</w:t>
      </w:r>
      <w:r>
        <w:rPr>
          <w:sz w:val="24"/>
        </w:rPr>
        <w:t>。</w:t>
      </w:r>
    </w:p>
    <w:p>
      <w:pPr>
        <w:snapToGrid w:val="0"/>
        <w:spacing w:line="440" w:lineRule="exact"/>
        <w:ind w:firstLine="480" w:firstLineChars="200"/>
        <w:rPr>
          <w:sz w:val="24"/>
        </w:rPr>
      </w:pPr>
      <w:r>
        <w:rPr>
          <w:sz w:val="24"/>
        </w:rPr>
        <w:t>6、会议召开的合法、合规性：本次股东大会</w:t>
      </w:r>
      <w:r>
        <w:rPr>
          <w:kern w:val="0"/>
          <w:sz w:val="24"/>
        </w:rPr>
        <w:t>的召开符合《公司法》、《上市公司股东大会规则》、《深圳证券交易所股票上市规则》等有关法律法规和《公司章程》的规定。</w:t>
      </w:r>
    </w:p>
    <w:p>
      <w:pPr>
        <w:snapToGrid w:val="0"/>
        <w:spacing w:line="440" w:lineRule="exact"/>
        <w:ind w:firstLine="482" w:firstLineChars="200"/>
        <w:outlineLvl w:val="1"/>
        <w:rPr>
          <w:b/>
          <w:sz w:val="24"/>
        </w:rPr>
      </w:pPr>
      <w:r>
        <w:rPr>
          <w:b/>
          <w:sz w:val="24"/>
        </w:rPr>
        <w:t>（二）会议出席情况</w:t>
      </w:r>
    </w:p>
    <w:p>
      <w:pPr>
        <w:autoSpaceDE w:val="0"/>
        <w:autoSpaceDN w:val="0"/>
        <w:adjustRightInd w:val="0"/>
        <w:spacing w:line="440" w:lineRule="exact"/>
        <w:ind w:firstLine="480" w:firstLineChars="200"/>
        <w:rPr>
          <w:rFonts w:hint="eastAsia"/>
          <w:kern w:val="0"/>
          <w:sz w:val="24"/>
        </w:rPr>
      </w:pPr>
      <w:r>
        <w:rPr>
          <w:kern w:val="0"/>
          <w:sz w:val="24"/>
        </w:rPr>
        <w:t>1、股东出席会议的总体情况</w:t>
      </w:r>
    </w:p>
    <w:p>
      <w:pPr>
        <w:autoSpaceDE w:val="0"/>
        <w:autoSpaceDN w:val="0"/>
        <w:adjustRightInd w:val="0"/>
        <w:spacing w:line="440" w:lineRule="exact"/>
        <w:ind w:firstLine="480" w:firstLineChars="200"/>
        <w:rPr>
          <w:rFonts w:hint="eastAsia"/>
          <w:color w:val="auto"/>
          <w:kern w:val="0"/>
          <w:sz w:val="24"/>
        </w:rPr>
      </w:pPr>
      <w:r>
        <w:rPr>
          <w:rFonts w:hint="eastAsia"/>
          <w:color w:val="auto"/>
          <w:kern w:val="0"/>
          <w:sz w:val="24"/>
        </w:rPr>
        <w:t>通过现场和网络投票的股东22人，代表股份472,193,871股，占上市公司总股份的49.9451％。其中：通过现场投票的股东10人，代表股份409,905,170股，占上市公司总股份的43.3567％。通过网络投票的股东12人，代表股份62,288,701股，占上市公司总股份的6.5884％。</w:t>
      </w:r>
    </w:p>
    <w:p>
      <w:pPr>
        <w:autoSpaceDE w:val="0"/>
        <w:autoSpaceDN w:val="0"/>
        <w:adjustRightInd w:val="0"/>
        <w:spacing w:line="440" w:lineRule="exact"/>
        <w:ind w:firstLine="480" w:firstLineChars="200"/>
        <w:rPr>
          <w:rFonts w:hint="eastAsia"/>
          <w:kern w:val="0"/>
          <w:sz w:val="24"/>
        </w:rPr>
      </w:pPr>
      <w:r>
        <w:rPr>
          <w:kern w:val="0"/>
          <w:sz w:val="24"/>
        </w:rPr>
        <w:t>2、中小股东出席的总体情况</w:t>
      </w:r>
    </w:p>
    <w:p>
      <w:pPr>
        <w:autoSpaceDE w:val="0"/>
        <w:autoSpaceDN w:val="0"/>
        <w:adjustRightInd w:val="0"/>
        <w:spacing w:line="440" w:lineRule="exact"/>
        <w:ind w:firstLine="480" w:firstLineChars="200"/>
        <w:rPr>
          <w:rFonts w:hint="eastAsia"/>
          <w:color w:val="auto"/>
          <w:kern w:val="0"/>
          <w:sz w:val="24"/>
        </w:rPr>
      </w:pPr>
      <w:r>
        <w:rPr>
          <w:rFonts w:hint="eastAsia"/>
          <w:color w:val="auto"/>
          <w:kern w:val="0"/>
          <w:sz w:val="24"/>
        </w:rPr>
        <w:t>通过现场和网络投票的中小股东20人，代表股份88,385,200股，占上市公司总股份的9.3487％。其中：通过现场投票的中小股东8人，代表股份26,096,499股，占上市公司总股份的2.7603％。通过网络投票的中小股东12人，代表股份62,288,701股，占上市公司总股份的6.5884％。</w:t>
      </w:r>
    </w:p>
    <w:p>
      <w:pPr>
        <w:autoSpaceDE w:val="0"/>
        <w:autoSpaceDN w:val="0"/>
        <w:adjustRightInd w:val="0"/>
        <w:spacing w:line="440" w:lineRule="exact"/>
        <w:ind w:firstLine="480" w:firstLineChars="200"/>
        <w:rPr>
          <w:kern w:val="0"/>
          <w:sz w:val="24"/>
        </w:rPr>
      </w:pPr>
      <w:r>
        <w:rPr>
          <w:kern w:val="0"/>
          <w:sz w:val="24"/>
        </w:rPr>
        <w:t>3、</w:t>
      </w:r>
      <w:r>
        <w:rPr>
          <w:rFonts w:hint="eastAsia"/>
          <w:kern w:val="0"/>
          <w:sz w:val="24"/>
        </w:rPr>
        <w:t>公司</w:t>
      </w:r>
      <w:r>
        <w:rPr>
          <w:rFonts w:hint="eastAsia"/>
          <w:kern w:val="0"/>
          <w:sz w:val="24"/>
          <w:lang w:val="en-US" w:eastAsia="zh-CN"/>
        </w:rPr>
        <w:t>全体</w:t>
      </w:r>
      <w:r>
        <w:rPr>
          <w:rFonts w:hint="eastAsia"/>
          <w:kern w:val="0"/>
          <w:sz w:val="24"/>
        </w:rPr>
        <w:t>董事</w:t>
      </w:r>
      <w:r>
        <w:rPr>
          <w:rFonts w:hint="eastAsia"/>
          <w:kern w:val="0"/>
          <w:sz w:val="24"/>
          <w:lang w:eastAsia="zh-CN"/>
        </w:rPr>
        <w:t>、</w:t>
      </w:r>
      <w:r>
        <w:rPr>
          <w:rFonts w:hint="eastAsia"/>
          <w:kern w:val="0"/>
          <w:sz w:val="24"/>
          <w:lang w:val="en-US" w:eastAsia="zh-CN"/>
        </w:rPr>
        <w:t>监事</w:t>
      </w:r>
      <w:r>
        <w:rPr>
          <w:rFonts w:hint="eastAsia"/>
          <w:kern w:val="0"/>
          <w:sz w:val="24"/>
        </w:rPr>
        <w:t>，董事会秘书杨新春出席了本次股东大会。公司部分高级管理人员列席了会议。</w:t>
      </w:r>
    </w:p>
    <w:p>
      <w:pPr>
        <w:pStyle w:val="24"/>
        <w:spacing w:line="440" w:lineRule="exact"/>
        <w:ind w:firstLine="480" w:firstLineChars="200"/>
        <w:jc w:val="both"/>
        <w:rPr>
          <w:rFonts w:ascii="Times New Roman" w:cs="Times New Roman"/>
          <w:color w:val="auto"/>
        </w:rPr>
      </w:pPr>
      <w:r>
        <w:rPr>
          <w:rFonts w:ascii="Times New Roman" w:cs="Times New Roman"/>
          <w:color w:val="auto"/>
        </w:rPr>
        <w:t>4、</w:t>
      </w:r>
      <w:r>
        <w:rPr>
          <w:rFonts w:hint="eastAsia" w:ascii="Times New Roman" w:cs="Times New Roman"/>
          <w:color w:val="auto"/>
        </w:rPr>
        <w:t>公司聘请的北京市君合（深圳）律师事务所委派夏晓露、冉研律师对本次股东大会进行见证，并出具《法律意见书》</w:t>
      </w:r>
      <w:r>
        <w:rPr>
          <w:rFonts w:ascii="Times New Roman" w:cs="Times New Roman"/>
          <w:color w:val="auto"/>
        </w:rPr>
        <w:t>。</w:t>
      </w:r>
    </w:p>
    <w:p>
      <w:pPr>
        <w:snapToGrid w:val="0"/>
        <w:spacing w:line="440" w:lineRule="exact"/>
        <w:ind w:firstLine="482" w:firstLineChars="200"/>
        <w:outlineLvl w:val="0"/>
        <w:rPr>
          <w:b/>
          <w:sz w:val="24"/>
        </w:rPr>
      </w:pPr>
      <w:r>
        <w:rPr>
          <w:b/>
          <w:sz w:val="24"/>
        </w:rPr>
        <w:t>二、议案审议表决情况</w:t>
      </w:r>
    </w:p>
    <w:p>
      <w:pPr>
        <w:pStyle w:val="24"/>
        <w:spacing w:line="440" w:lineRule="exact"/>
        <w:ind w:firstLine="480" w:firstLineChars="200"/>
        <w:jc w:val="both"/>
        <w:rPr>
          <w:rFonts w:ascii="Times New Roman" w:cs="Times New Roman"/>
        </w:rPr>
      </w:pPr>
      <w:r>
        <w:rPr>
          <w:rFonts w:ascii="Times New Roman" w:cs="Times New Roman"/>
        </w:rPr>
        <w:t>本次股东大会议案采用现场投票与网络投票相结合的表决方式，表决结果如下：</w:t>
      </w:r>
    </w:p>
    <w:p>
      <w:pPr>
        <w:snapToGrid w:val="0"/>
        <w:spacing w:line="440" w:lineRule="exact"/>
        <w:ind w:firstLine="482" w:firstLineChars="200"/>
        <w:outlineLvl w:val="1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提案1.00 《关于2023年度董事会工作报告的议案》</w:t>
      </w:r>
    </w:p>
    <w:p>
      <w:pPr>
        <w:snapToGrid w:val="0"/>
        <w:spacing w:line="440" w:lineRule="exact"/>
        <w:ind w:firstLine="480" w:firstLineChars="200"/>
        <w:outlineLvl w:val="1"/>
        <w:rPr>
          <w:rFonts w:hint="eastAsia"/>
          <w:b w:val="0"/>
          <w:bCs/>
          <w:sz w:val="24"/>
        </w:rPr>
      </w:pPr>
      <w:r>
        <w:rPr>
          <w:rFonts w:hint="eastAsia"/>
          <w:b w:val="0"/>
          <w:bCs/>
          <w:sz w:val="24"/>
        </w:rPr>
        <w:t>总表决情况：</w:t>
      </w:r>
    </w:p>
    <w:p>
      <w:pPr>
        <w:snapToGrid w:val="0"/>
        <w:spacing w:line="440" w:lineRule="exact"/>
        <w:ind w:firstLine="480" w:firstLineChars="200"/>
        <w:outlineLvl w:val="1"/>
        <w:rPr>
          <w:rFonts w:hint="eastAsia"/>
          <w:b w:val="0"/>
          <w:bCs/>
          <w:sz w:val="24"/>
        </w:rPr>
      </w:pPr>
      <w:r>
        <w:rPr>
          <w:rFonts w:hint="eastAsia"/>
          <w:b w:val="0"/>
          <w:bCs/>
          <w:sz w:val="24"/>
        </w:rPr>
        <w:t>同意472,007,071股，占出席会议所有股东所持股份的99.9604％；反对112,800股，占出席会议所有股东所持股份的0.0239％；弃权74,000股（其中，因未投票默认弃权0股），占出席会议所有股东所持股份的0.0157％。</w:t>
      </w:r>
    </w:p>
    <w:p>
      <w:pPr>
        <w:snapToGrid w:val="0"/>
        <w:spacing w:line="440" w:lineRule="exact"/>
        <w:ind w:firstLine="480" w:firstLineChars="200"/>
        <w:outlineLvl w:val="1"/>
        <w:rPr>
          <w:rFonts w:hint="eastAsia"/>
          <w:b w:val="0"/>
          <w:bCs/>
          <w:sz w:val="24"/>
        </w:rPr>
      </w:pPr>
      <w:r>
        <w:rPr>
          <w:rFonts w:hint="eastAsia"/>
          <w:b w:val="0"/>
          <w:bCs/>
          <w:sz w:val="24"/>
        </w:rPr>
        <w:t>中小股东总表决情况：</w:t>
      </w:r>
    </w:p>
    <w:p>
      <w:pPr>
        <w:snapToGrid w:val="0"/>
        <w:spacing w:line="440" w:lineRule="exact"/>
        <w:ind w:firstLine="480" w:firstLineChars="200"/>
        <w:outlineLvl w:val="1"/>
        <w:rPr>
          <w:rFonts w:hint="eastAsia"/>
          <w:b w:val="0"/>
          <w:bCs/>
          <w:sz w:val="24"/>
        </w:rPr>
      </w:pPr>
      <w:r>
        <w:rPr>
          <w:rFonts w:hint="eastAsia"/>
          <w:b w:val="0"/>
          <w:bCs/>
          <w:sz w:val="24"/>
        </w:rPr>
        <w:t>同意88,198,400股，占出席会议的中小股东所持股份的99.7887％；反对112,800股，占出席会议的中小股东所持股份的0.1276％；弃权74,000股（其中，因未投票默认弃权0股），占出席会议的中小股东所持股份的0.0837％。</w:t>
      </w:r>
    </w:p>
    <w:p>
      <w:pPr>
        <w:pStyle w:val="24"/>
        <w:spacing w:line="440" w:lineRule="exact"/>
        <w:ind w:firstLine="480" w:firstLineChars="200"/>
        <w:jc w:val="both"/>
        <w:rPr>
          <w:rFonts w:hint="eastAsia"/>
          <w:b/>
        </w:rPr>
      </w:pPr>
      <w:r>
        <w:rPr>
          <w:rFonts w:hint="eastAsia"/>
          <w:bCs/>
        </w:rPr>
        <w:t>表决结果：通过</w:t>
      </w:r>
      <w:r>
        <w:rPr>
          <w:rFonts w:hint="eastAsia"/>
          <w:bCs/>
          <w:color w:val="auto"/>
        </w:rPr>
        <w:t>。独立董事已在股东大会上述职。</w:t>
      </w:r>
    </w:p>
    <w:p>
      <w:pPr>
        <w:snapToGrid w:val="0"/>
        <w:spacing w:line="440" w:lineRule="exact"/>
        <w:ind w:firstLine="482" w:firstLineChars="200"/>
        <w:outlineLvl w:val="1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提案2.00 《关于2023年度监事会工作报告的议案》</w:t>
      </w:r>
    </w:p>
    <w:p>
      <w:pPr>
        <w:snapToGrid w:val="0"/>
        <w:spacing w:line="440" w:lineRule="exact"/>
        <w:ind w:firstLine="480" w:firstLineChars="200"/>
        <w:outlineLvl w:val="1"/>
        <w:rPr>
          <w:rFonts w:hint="eastAsia"/>
          <w:b w:val="0"/>
          <w:bCs/>
          <w:sz w:val="24"/>
        </w:rPr>
      </w:pPr>
      <w:r>
        <w:rPr>
          <w:rFonts w:hint="eastAsia"/>
          <w:b w:val="0"/>
          <w:bCs/>
          <w:sz w:val="24"/>
        </w:rPr>
        <w:t>总表决情况：</w:t>
      </w:r>
    </w:p>
    <w:p>
      <w:pPr>
        <w:snapToGrid w:val="0"/>
        <w:spacing w:line="440" w:lineRule="exact"/>
        <w:ind w:firstLine="480" w:firstLineChars="200"/>
        <w:outlineLvl w:val="1"/>
        <w:rPr>
          <w:rFonts w:hint="eastAsia"/>
          <w:b w:val="0"/>
          <w:bCs/>
          <w:sz w:val="24"/>
        </w:rPr>
      </w:pPr>
      <w:r>
        <w:rPr>
          <w:rFonts w:hint="eastAsia"/>
          <w:b w:val="0"/>
          <w:bCs/>
          <w:sz w:val="24"/>
        </w:rPr>
        <w:t>同意472,007,071股，占出席会议所有股东所持股份的99.9604％；反对108,100股，占出席会议所有股东所持股份的0.0229％；弃权78,700股（其中，因未投票默认弃权0股），占出席会议所有股东所持股份的0.0167％。</w:t>
      </w:r>
    </w:p>
    <w:p>
      <w:pPr>
        <w:snapToGrid w:val="0"/>
        <w:spacing w:line="440" w:lineRule="exact"/>
        <w:ind w:firstLine="480" w:firstLineChars="200"/>
        <w:outlineLvl w:val="1"/>
        <w:rPr>
          <w:rFonts w:hint="eastAsia"/>
          <w:b w:val="0"/>
          <w:bCs/>
          <w:sz w:val="24"/>
        </w:rPr>
      </w:pPr>
      <w:r>
        <w:rPr>
          <w:rFonts w:hint="eastAsia"/>
          <w:b w:val="0"/>
          <w:bCs/>
          <w:sz w:val="24"/>
        </w:rPr>
        <w:t>中小股东总表决情况：</w:t>
      </w:r>
    </w:p>
    <w:p>
      <w:pPr>
        <w:snapToGrid w:val="0"/>
        <w:spacing w:line="440" w:lineRule="exact"/>
        <w:ind w:firstLine="480" w:firstLineChars="200"/>
        <w:outlineLvl w:val="1"/>
        <w:rPr>
          <w:rFonts w:hint="eastAsia"/>
          <w:b/>
          <w:sz w:val="24"/>
        </w:rPr>
      </w:pPr>
      <w:r>
        <w:rPr>
          <w:rFonts w:hint="eastAsia"/>
          <w:b w:val="0"/>
          <w:bCs/>
          <w:sz w:val="24"/>
        </w:rPr>
        <w:t>同意88,198,400股，占出席会议的中小股东所持股份的99.7887％；反对108,100股，占出席会议的中小股东所持股份的0.1223％；弃权78,700股（其中，因未投票默认弃权0股），占出席会议的中小股东所持股份的0.0890％。</w:t>
      </w:r>
    </w:p>
    <w:p>
      <w:pPr>
        <w:pStyle w:val="24"/>
        <w:spacing w:line="440" w:lineRule="exact"/>
        <w:ind w:firstLine="480" w:firstLineChars="200"/>
        <w:jc w:val="both"/>
        <w:rPr>
          <w:rFonts w:hint="eastAsia"/>
          <w:b/>
        </w:rPr>
      </w:pPr>
      <w:r>
        <w:rPr>
          <w:rFonts w:hint="eastAsia"/>
          <w:bCs/>
        </w:rPr>
        <w:t>表决结果：通过</w:t>
      </w:r>
      <w:r>
        <w:rPr>
          <w:rFonts w:hint="eastAsia"/>
          <w:bCs/>
          <w:color w:val="auto"/>
        </w:rPr>
        <w:t>。</w:t>
      </w:r>
    </w:p>
    <w:p>
      <w:pPr>
        <w:snapToGrid w:val="0"/>
        <w:spacing w:line="440" w:lineRule="exact"/>
        <w:ind w:firstLine="482" w:firstLineChars="200"/>
        <w:outlineLvl w:val="1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提案3.00 《关于2023年度财务决算报告的议案》</w:t>
      </w:r>
    </w:p>
    <w:p>
      <w:pPr>
        <w:snapToGrid w:val="0"/>
        <w:spacing w:line="440" w:lineRule="exact"/>
        <w:ind w:firstLine="480" w:firstLineChars="200"/>
        <w:outlineLvl w:val="1"/>
        <w:rPr>
          <w:rFonts w:hint="eastAsia"/>
          <w:b w:val="0"/>
          <w:bCs/>
          <w:sz w:val="24"/>
        </w:rPr>
      </w:pPr>
      <w:r>
        <w:rPr>
          <w:rFonts w:hint="eastAsia"/>
          <w:b w:val="0"/>
          <w:bCs/>
          <w:sz w:val="24"/>
        </w:rPr>
        <w:t>总表决情况：</w:t>
      </w:r>
    </w:p>
    <w:p>
      <w:pPr>
        <w:snapToGrid w:val="0"/>
        <w:spacing w:line="440" w:lineRule="exact"/>
        <w:ind w:firstLine="480" w:firstLineChars="200"/>
        <w:outlineLvl w:val="1"/>
        <w:rPr>
          <w:rFonts w:hint="eastAsia"/>
          <w:b w:val="0"/>
          <w:bCs/>
          <w:sz w:val="24"/>
        </w:rPr>
      </w:pPr>
      <w:r>
        <w:rPr>
          <w:rFonts w:hint="eastAsia"/>
          <w:b w:val="0"/>
          <w:bCs/>
          <w:sz w:val="24"/>
        </w:rPr>
        <w:t>同意472,007,071股，占出席会议所有股东所持股份的99.9604％；反对112,800股，占出席会议所有股东所持股份的0.0239％；弃权74,000股（其中，因未投票默认弃权0股），占出席会议所有股东所持股份的0.0157％。</w:t>
      </w:r>
    </w:p>
    <w:p>
      <w:pPr>
        <w:snapToGrid w:val="0"/>
        <w:spacing w:line="440" w:lineRule="exact"/>
        <w:ind w:firstLine="480" w:firstLineChars="200"/>
        <w:outlineLvl w:val="1"/>
        <w:rPr>
          <w:rFonts w:hint="eastAsia"/>
          <w:b w:val="0"/>
          <w:bCs/>
          <w:sz w:val="24"/>
        </w:rPr>
      </w:pPr>
      <w:r>
        <w:rPr>
          <w:rFonts w:hint="eastAsia"/>
          <w:b w:val="0"/>
          <w:bCs/>
          <w:sz w:val="24"/>
        </w:rPr>
        <w:t>中小股东总表决情况：</w:t>
      </w:r>
    </w:p>
    <w:p>
      <w:pPr>
        <w:snapToGrid w:val="0"/>
        <w:spacing w:line="440" w:lineRule="exact"/>
        <w:ind w:firstLine="480" w:firstLineChars="200"/>
        <w:outlineLvl w:val="1"/>
        <w:rPr>
          <w:rFonts w:hint="eastAsia"/>
          <w:b/>
          <w:sz w:val="24"/>
        </w:rPr>
      </w:pPr>
      <w:r>
        <w:rPr>
          <w:rFonts w:hint="eastAsia"/>
          <w:b w:val="0"/>
          <w:bCs/>
          <w:sz w:val="24"/>
        </w:rPr>
        <w:t>同意88,198,400股，占出席会议的中小股东所持股份的99.7887％；反对112,800股，占出席会议的中小股东所持股份的0.1276％；弃权74,000股（其中，因未投票默认弃权0股），占出席会议的中小股东所持股份的0.0837％。</w:t>
      </w:r>
    </w:p>
    <w:p>
      <w:pPr>
        <w:pStyle w:val="24"/>
        <w:spacing w:line="440" w:lineRule="exact"/>
        <w:ind w:firstLine="480" w:firstLineChars="200"/>
        <w:jc w:val="both"/>
        <w:rPr>
          <w:rFonts w:hint="eastAsia"/>
          <w:b/>
        </w:rPr>
      </w:pPr>
      <w:r>
        <w:rPr>
          <w:rFonts w:hint="eastAsia"/>
          <w:bCs/>
        </w:rPr>
        <w:t>表决结果：通过</w:t>
      </w:r>
      <w:r>
        <w:rPr>
          <w:rFonts w:hint="eastAsia"/>
          <w:bCs/>
          <w:color w:val="auto"/>
        </w:rPr>
        <w:t>。</w:t>
      </w:r>
    </w:p>
    <w:p>
      <w:pPr>
        <w:snapToGrid w:val="0"/>
        <w:spacing w:line="440" w:lineRule="exact"/>
        <w:ind w:firstLine="482" w:firstLineChars="200"/>
        <w:outlineLvl w:val="1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提案4.00 《关于2024年预算与投资计划的议案》</w:t>
      </w:r>
    </w:p>
    <w:p>
      <w:pPr>
        <w:snapToGrid w:val="0"/>
        <w:spacing w:line="440" w:lineRule="exact"/>
        <w:ind w:firstLine="480" w:firstLineChars="200"/>
        <w:outlineLvl w:val="1"/>
        <w:rPr>
          <w:rFonts w:hint="eastAsia"/>
          <w:b w:val="0"/>
          <w:bCs/>
          <w:sz w:val="24"/>
        </w:rPr>
      </w:pPr>
      <w:r>
        <w:rPr>
          <w:rFonts w:hint="eastAsia"/>
          <w:b w:val="0"/>
          <w:bCs/>
          <w:sz w:val="24"/>
        </w:rPr>
        <w:t>总表决情况：</w:t>
      </w:r>
    </w:p>
    <w:p>
      <w:pPr>
        <w:snapToGrid w:val="0"/>
        <w:spacing w:line="440" w:lineRule="exact"/>
        <w:ind w:firstLine="480" w:firstLineChars="200"/>
        <w:outlineLvl w:val="1"/>
        <w:rPr>
          <w:rFonts w:hint="eastAsia"/>
          <w:b w:val="0"/>
          <w:bCs/>
          <w:sz w:val="24"/>
        </w:rPr>
      </w:pPr>
      <w:r>
        <w:rPr>
          <w:rFonts w:hint="eastAsia"/>
          <w:b w:val="0"/>
          <w:bCs/>
          <w:sz w:val="24"/>
        </w:rPr>
        <w:t>同意472,080,271股，占出席会议所有股东所持股份的99.9759％；反对112,800股，占出席会议所有股东所持股份的0.0239％；弃权800股（其中，因未投票默认弃权0股），占出席会议所有股东所持股份的0.0002％。</w:t>
      </w:r>
    </w:p>
    <w:p>
      <w:pPr>
        <w:snapToGrid w:val="0"/>
        <w:spacing w:line="440" w:lineRule="exact"/>
        <w:ind w:firstLine="480" w:firstLineChars="200"/>
        <w:outlineLvl w:val="1"/>
        <w:rPr>
          <w:rFonts w:hint="eastAsia"/>
          <w:b w:val="0"/>
          <w:bCs/>
          <w:sz w:val="24"/>
        </w:rPr>
      </w:pPr>
      <w:r>
        <w:rPr>
          <w:rFonts w:hint="eastAsia"/>
          <w:b w:val="0"/>
          <w:bCs/>
          <w:sz w:val="24"/>
        </w:rPr>
        <w:t>中小股东总表决情况：</w:t>
      </w:r>
    </w:p>
    <w:p>
      <w:pPr>
        <w:snapToGrid w:val="0"/>
        <w:spacing w:line="440" w:lineRule="exact"/>
        <w:ind w:firstLine="480" w:firstLineChars="200"/>
        <w:outlineLvl w:val="1"/>
        <w:rPr>
          <w:rFonts w:hint="eastAsia"/>
          <w:b/>
          <w:sz w:val="24"/>
        </w:rPr>
      </w:pPr>
      <w:r>
        <w:rPr>
          <w:rFonts w:hint="eastAsia"/>
          <w:b w:val="0"/>
          <w:bCs/>
          <w:sz w:val="24"/>
        </w:rPr>
        <w:t>同意88,271,600股，占出席会议的中小股东所持股份的99.8715％；反对112,800股，占出席会议的中小股东所持股份的0.1276％；弃权800股（其中，因未投票默认弃权0股），占出席会议的中小股东所持股份的0.0009％。</w:t>
      </w:r>
    </w:p>
    <w:p>
      <w:pPr>
        <w:pStyle w:val="24"/>
        <w:spacing w:line="440" w:lineRule="exact"/>
        <w:ind w:firstLine="480" w:firstLineChars="200"/>
        <w:jc w:val="both"/>
        <w:rPr>
          <w:rFonts w:hint="eastAsia"/>
          <w:b/>
        </w:rPr>
      </w:pPr>
      <w:r>
        <w:rPr>
          <w:rFonts w:hint="eastAsia"/>
          <w:bCs/>
        </w:rPr>
        <w:t>表决结果：通过</w:t>
      </w:r>
      <w:r>
        <w:rPr>
          <w:rFonts w:hint="eastAsia"/>
          <w:bCs/>
          <w:color w:val="auto"/>
        </w:rPr>
        <w:t>。</w:t>
      </w:r>
    </w:p>
    <w:p>
      <w:pPr>
        <w:snapToGrid w:val="0"/>
        <w:spacing w:line="440" w:lineRule="exact"/>
        <w:ind w:firstLine="482" w:firstLineChars="200"/>
        <w:outlineLvl w:val="1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提案5.00 《关于2023年度利润分配方案的议案》</w:t>
      </w:r>
    </w:p>
    <w:p>
      <w:pPr>
        <w:snapToGrid w:val="0"/>
        <w:spacing w:line="440" w:lineRule="exact"/>
        <w:ind w:firstLine="480" w:firstLineChars="200"/>
        <w:outlineLvl w:val="1"/>
        <w:rPr>
          <w:rFonts w:hint="eastAsia"/>
          <w:b w:val="0"/>
          <w:bCs/>
          <w:sz w:val="24"/>
        </w:rPr>
      </w:pPr>
      <w:r>
        <w:rPr>
          <w:rFonts w:hint="eastAsia"/>
          <w:b w:val="0"/>
          <w:bCs/>
          <w:sz w:val="24"/>
        </w:rPr>
        <w:t>总表决情况：</w:t>
      </w:r>
    </w:p>
    <w:p>
      <w:pPr>
        <w:snapToGrid w:val="0"/>
        <w:spacing w:line="440" w:lineRule="exact"/>
        <w:ind w:firstLine="480" w:firstLineChars="200"/>
        <w:outlineLvl w:val="1"/>
        <w:rPr>
          <w:rFonts w:hint="eastAsia"/>
          <w:b w:val="0"/>
          <w:bCs/>
          <w:sz w:val="24"/>
        </w:rPr>
      </w:pPr>
      <w:r>
        <w:rPr>
          <w:rFonts w:hint="eastAsia"/>
          <w:b w:val="0"/>
          <w:bCs/>
          <w:sz w:val="24"/>
        </w:rPr>
        <w:t>同意472,080,271股，占出席会议所有股东所持股份的99.9759％；反对108,100股，占出席会议所有股东所持股份的0.0229％；弃权5,500股（其中，因未投票默认弃权0股），占出席会议所有股东所持股份的0.0012％。</w:t>
      </w:r>
    </w:p>
    <w:p>
      <w:pPr>
        <w:snapToGrid w:val="0"/>
        <w:spacing w:line="440" w:lineRule="exact"/>
        <w:ind w:firstLine="480" w:firstLineChars="200"/>
        <w:outlineLvl w:val="1"/>
        <w:rPr>
          <w:rFonts w:hint="eastAsia"/>
          <w:b w:val="0"/>
          <w:bCs/>
          <w:sz w:val="24"/>
        </w:rPr>
      </w:pPr>
      <w:r>
        <w:rPr>
          <w:rFonts w:hint="eastAsia"/>
          <w:b w:val="0"/>
          <w:bCs/>
          <w:sz w:val="24"/>
        </w:rPr>
        <w:t>中小股东总表决情况：</w:t>
      </w:r>
    </w:p>
    <w:p>
      <w:pPr>
        <w:snapToGrid w:val="0"/>
        <w:spacing w:line="440" w:lineRule="exact"/>
        <w:ind w:firstLine="480" w:firstLineChars="200"/>
        <w:outlineLvl w:val="1"/>
        <w:rPr>
          <w:rFonts w:hint="eastAsia"/>
          <w:b/>
          <w:sz w:val="24"/>
        </w:rPr>
      </w:pPr>
      <w:r>
        <w:rPr>
          <w:rFonts w:hint="eastAsia"/>
          <w:b w:val="0"/>
          <w:bCs/>
          <w:sz w:val="24"/>
        </w:rPr>
        <w:t>同意88,271,600股，占出席会议的中小股东所持股份的99.8715％；反对108,100股，占出席会议的中小股东所持股份的0.1223％；弃权5,500股（其中，因未投票默认弃权0股），占出席会议的中小股东所持股份的0.0062％。</w:t>
      </w:r>
    </w:p>
    <w:p>
      <w:pPr>
        <w:pStyle w:val="24"/>
        <w:spacing w:line="440" w:lineRule="exact"/>
        <w:ind w:firstLine="480" w:firstLineChars="200"/>
        <w:jc w:val="both"/>
        <w:rPr>
          <w:rFonts w:hint="eastAsia"/>
          <w:b/>
        </w:rPr>
      </w:pPr>
      <w:r>
        <w:rPr>
          <w:rFonts w:hint="eastAsia"/>
          <w:bCs/>
        </w:rPr>
        <w:t>表决结果：通过</w:t>
      </w:r>
      <w:r>
        <w:rPr>
          <w:rFonts w:hint="eastAsia"/>
          <w:bCs/>
          <w:color w:val="auto"/>
        </w:rPr>
        <w:t>。</w:t>
      </w:r>
    </w:p>
    <w:p>
      <w:pPr>
        <w:snapToGrid w:val="0"/>
        <w:spacing w:line="440" w:lineRule="exact"/>
        <w:ind w:firstLine="482" w:firstLineChars="200"/>
        <w:outlineLvl w:val="1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提案6.00 《关于2024年度银行授信及融资计划的议案》</w:t>
      </w:r>
    </w:p>
    <w:p>
      <w:pPr>
        <w:snapToGrid w:val="0"/>
        <w:spacing w:line="440" w:lineRule="exact"/>
        <w:ind w:firstLine="480" w:firstLineChars="200"/>
        <w:outlineLvl w:val="1"/>
        <w:rPr>
          <w:rFonts w:hint="eastAsia"/>
          <w:b w:val="0"/>
          <w:bCs/>
          <w:sz w:val="24"/>
        </w:rPr>
      </w:pPr>
      <w:r>
        <w:rPr>
          <w:rFonts w:hint="eastAsia"/>
          <w:b w:val="0"/>
          <w:bCs/>
          <w:sz w:val="24"/>
        </w:rPr>
        <w:t>总表决情况：</w:t>
      </w:r>
    </w:p>
    <w:p>
      <w:pPr>
        <w:snapToGrid w:val="0"/>
        <w:spacing w:line="440" w:lineRule="exact"/>
        <w:ind w:firstLine="480" w:firstLineChars="200"/>
        <w:outlineLvl w:val="1"/>
        <w:rPr>
          <w:rFonts w:hint="eastAsia"/>
          <w:b w:val="0"/>
          <w:bCs/>
          <w:sz w:val="24"/>
        </w:rPr>
      </w:pPr>
      <w:r>
        <w:rPr>
          <w:rFonts w:hint="eastAsia"/>
          <w:b w:val="0"/>
          <w:bCs/>
          <w:sz w:val="24"/>
        </w:rPr>
        <w:t>同意467,077,392股，占出席会议所有股东所持股份的98.9164％；反对5,110,979股，占出席会议所有股东所持股份的1.0824％；弃权5,500股（其中，因未投票默认弃权0股），占出席会议所有股东所持股份的0.0012％。</w:t>
      </w:r>
    </w:p>
    <w:p>
      <w:pPr>
        <w:snapToGrid w:val="0"/>
        <w:spacing w:line="440" w:lineRule="exact"/>
        <w:ind w:firstLine="480" w:firstLineChars="200"/>
        <w:outlineLvl w:val="1"/>
        <w:rPr>
          <w:rFonts w:hint="eastAsia"/>
          <w:b w:val="0"/>
          <w:bCs/>
          <w:sz w:val="24"/>
        </w:rPr>
      </w:pPr>
      <w:r>
        <w:rPr>
          <w:rFonts w:hint="eastAsia"/>
          <w:b w:val="0"/>
          <w:bCs/>
          <w:sz w:val="24"/>
        </w:rPr>
        <w:t>中小股东总表决情况：</w:t>
      </w:r>
    </w:p>
    <w:p>
      <w:pPr>
        <w:snapToGrid w:val="0"/>
        <w:spacing w:line="440" w:lineRule="exact"/>
        <w:ind w:firstLine="480" w:firstLineChars="200"/>
        <w:outlineLvl w:val="1"/>
        <w:rPr>
          <w:rFonts w:hint="eastAsia"/>
          <w:b/>
          <w:sz w:val="24"/>
        </w:rPr>
      </w:pPr>
      <w:r>
        <w:rPr>
          <w:rFonts w:hint="eastAsia"/>
          <w:b w:val="0"/>
          <w:bCs/>
          <w:sz w:val="24"/>
        </w:rPr>
        <w:t>同意83,268,721股，占出席会议的中小股东所持股份的94.2112％；反对5,110,979股，占出席会议的中小股东所持股份的5.7826％；弃权5,500股（其中，因未投票默认弃权0股），占出席会议的中小股东所持股份的0.0062％。</w:t>
      </w:r>
    </w:p>
    <w:p>
      <w:pPr>
        <w:pStyle w:val="24"/>
        <w:spacing w:line="440" w:lineRule="exact"/>
        <w:ind w:firstLine="480" w:firstLineChars="200"/>
        <w:jc w:val="both"/>
        <w:rPr>
          <w:rFonts w:hint="eastAsia"/>
          <w:b/>
        </w:rPr>
      </w:pPr>
      <w:r>
        <w:rPr>
          <w:rFonts w:hint="eastAsia"/>
          <w:bCs/>
        </w:rPr>
        <w:t>表决结果：通过</w:t>
      </w:r>
      <w:r>
        <w:rPr>
          <w:rFonts w:hint="eastAsia"/>
          <w:bCs/>
          <w:color w:val="auto"/>
        </w:rPr>
        <w:t>。</w:t>
      </w:r>
    </w:p>
    <w:p>
      <w:pPr>
        <w:snapToGrid w:val="0"/>
        <w:spacing w:line="440" w:lineRule="exact"/>
        <w:ind w:firstLine="482" w:firstLineChars="200"/>
        <w:outlineLvl w:val="1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提案7.00 《关于独立董事2023年度履职评价及薪酬的议案》</w:t>
      </w:r>
    </w:p>
    <w:p>
      <w:pPr>
        <w:snapToGrid w:val="0"/>
        <w:spacing w:line="440" w:lineRule="exact"/>
        <w:ind w:firstLine="480" w:firstLineChars="200"/>
        <w:outlineLvl w:val="1"/>
        <w:rPr>
          <w:rFonts w:hint="eastAsia"/>
          <w:b w:val="0"/>
          <w:bCs/>
          <w:sz w:val="24"/>
        </w:rPr>
      </w:pPr>
      <w:r>
        <w:rPr>
          <w:rFonts w:hint="eastAsia"/>
          <w:b w:val="0"/>
          <w:bCs/>
          <w:sz w:val="24"/>
        </w:rPr>
        <w:t>总表决情况：</w:t>
      </w:r>
    </w:p>
    <w:p>
      <w:pPr>
        <w:snapToGrid w:val="0"/>
        <w:spacing w:line="440" w:lineRule="exact"/>
        <w:ind w:firstLine="480" w:firstLineChars="200"/>
        <w:outlineLvl w:val="1"/>
        <w:rPr>
          <w:rFonts w:hint="eastAsia"/>
          <w:b w:val="0"/>
          <w:bCs/>
          <w:sz w:val="24"/>
        </w:rPr>
      </w:pPr>
      <w:r>
        <w:rPr>
          <w:rFonts w:hint="eastAsia"/>
          <w:b w:val="0"/>
          <w:bCs/>
          <w:sz w:val="24"/>
        </w:rPr>
        <w:t>同意472,080,271股，占出席会议所有股东所持股份的99.9759％；反对112,800股，占出席会议所有股东所持股份的0.0239％；弃权800股（其中，因未投票默认弃权0股），占出席会议所有股东所持股份的0.0002％。</w:t>
      </w:r>
    </w:p>
    <w:p>
      <w:pPr>
        <w:snapToGrid w:val="0"/>
        <w:spacing w:line="440" w:lineRule="exact"/>
        <w:ind w:firstLine="480" w:firstLineChars="200"/>
        <w:outlineLvl w:val="1"/>
        <w:rPr>
          <w:rFonts w:hint="eastAsia"/>
          <w:b w:val="0"/>
          <w:bCs/>
          <w:sz w:val="24"/>
        </w:rPr>
      </w:pPr>
      <w:r>
        <w:rPr>
          <w:rFonts w:hint="eastAsia"/>
          <w:b w:val="0"/>
          <w:bCs/>
          <w:sz w:val="24"/>
        </w:rPr>
        <w:t>中小股东总表决情况：</w:t>
      </w:r>
    </w:p>
    <w:p>
      <w:pPr>
        <w:snapToGrid w:val="0"/>
        <w:spacing w:line="440" w:lineRule="exact"/>
        <w:ind w:firstLine="480" w:firstLineChars="200"/>
        <w:outlineLvl w:val="1"/>
        <w:rPr>
          <w:rFonts w:hint="eastAsia"/>
          <w:b/>
          <w:sz w:val="24"/>
        </w:rPr>
      </w:pPr>
      <w:r>
        <w:rPr>
          <w:rFonts w:hint="eastAsia"/>
          <w:b w:val="0"/>
          <w:bCs/>
          <w:sz w:val="24"/>
        </w:rPr>
        <w:t>同意88,271,600股，占出席会议的中小股东所持股份的99.8715％；反对112,800股，占出席会议的中小股东所持股份的0.1276％；弃权800股（其中，因未投票默认弃权0股），占出席会议的中小股东所持股份的0.0009％。</w:t>
      </w:r>
    </w:p>
    <w:p>
      <w:pPr>
        <w:pStyle w:val="24"/>
        <w:spacing w:line="440" w:lineRule="exact"/>
        <w:ind w:firstLine="480" w:firstLineChars="200"/>
        <w:jc w:val="both"/>
        <w:rPr>
          <w:rFonts w:hint="eastAsia"/>
          <w:b/>
        </w:rPr>
      </w:pPr>
      <w:r>
        <w:rPr>
          <w:rFonts w:hint="eastAsia"/>
          <w:bCs/>
        </w:rPr>
        <w:t>表决结果：通过</w:t>
      </w:r>
      <w:r>
        <w:rPr>
          <w:rFonts w:hint="eastAsia"/>
          <w:bCs/>
          <w:color w:val="auto"/>
        </w:rPr>
        <w:t>。</w:t>
      </w:r>
    </w:p>
    <w:p>
      <w:pPr>
        <w:snapToGrid w:val="0"/>
        <w:spacing w:line="440" w:lineRule="exact"/>
        <w:ind w:firstLine="482" w:firstLineChars="200"/>
        <w:outlineLvl w:val="1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提案8.00 《关于确认2023年度日常关联交易和预计2024年度日常关联交易的议案》</w:t>
      </w:r>
    </w:p>
    <w:p>
      <w:pPr>
        <w:snapToGrid w:val="0"/>
        <w:spacing w:line="440" w:lineRule="exact"/>
        <w:ind w:firstLine="480" w:firstLineChars="200"/>
        <w:outlineLvl w:val="1"/>
        <w:rPr>
          <w:rFonts w:hint="eastAsia"/>
          <w:b w:val="0"/>
          <w:bCs/>
          <w:sz w:val="24"/>
        </w:rPr>
      </w:pPr>
      <w:r>
        <w:rPr>
          <w:rFonts w:hint="eastAsia"/>
          <w:b w:val="0"/>
          <w:bCs/>
          <w:sz w:val="24"/>
        </w:rPr>
        <w:t>总表决情况：</w:t>
      </w:r>
    </w:p>
    <w:p>
      <w:pPr>
        <w:snapToGrid w:val="0"/>
        <w:spacing w:line="440" w:lineRule="exact"/>
        <w:ind w:firstLine="480" w:firstLineChars="200"/>
        <w:outlineLvl w:val="1"/>
        <w:rPr>
          <w:rFonts w:hint="eastAsia"/>
          <w:b w:val="0"/>
          <w:bCs/>
          <w:sz w:val="24"/>
        </w:rPr>
      </w:pPr>
      <w:r>
        <w:rPr>
          <w:rFonts w:hint="eastAsia"/>
          <w:b w:val="0"/>
          <w:bCs/>
          <w:sz w:val="24"/>
        </w:rPr>
        <w:t>同意86,423,200股，占出席会议所有股东所持</w:t>
      </w:r>
      <w:r>
        <w:rPr>
          <w:rFonts w:hint="eastAsia"/>
          <w:b w:val="0"/>
          <w:bCs/>
          <w:sz w:val="24"/>
          <w:lang w:val="en-US" w:eastAsia="zh-CN"/>
        </w:rPr>
        <w:t>有效表决权</w:t>
      </w:r>
      <w:r>
        <w:rPr>
          <w:rFonts w:hint="eastAsia"/>
          <w:b w:val="0"/>
          <w:bCs/>
          <w:sz w:val="24"/>
        </w:rPr>
        <w:t>股份的97.7802％；反对1,961,200股，占出席会议所有股东所持有效表决权股份的2.2189％；弃权800股（其中，因未投票默认弃权0股），占出席会议所有股东所持有效表决权股份的0.0009％。</w:t>
      </w:r>
    </w:p>
    <w:p>
      <w:pPr>
        <w:snapToGrid w:val="0"/>
        <w:spacing w:line="440" w:lineRule="exact"/>
        <w:ind w:firstLine="480" w:firstLineChars="200"/>
        <w:outlineLvl w:val="1"/>
        <w:rPr>
          <w:rFonts w:hint="eastAsia"/>
          <w:b w:val="0"/>
          <w:bCs/>
          <w:sz w:val="24"/>
        </w:rPr>
      </w:pPr>
      <w:r>
        <w:rPr>
          <w:rFonts w:hint="eastAsia"/>
          <w:b w:val="0"/>
          <w:bCs/>
          <w:sz w:val="24"/>
        </w:rPr>
        <w:t>中小股东总表决情况：</w:t>
      </w:r>
    </w:p>
    <w:p>
      <w:pPr>
        <w:snapToGrid w:val="0"/>
        <w:spacing w:line="440" w:lineRule="exact"/>
        <w:ind w:firstLine="480" w:firstLineChars="200"/>
        <w:outlineLvl w:val="1"/>
        <w:rPr>
          <w:rFonts w:hint="eastAsia"/>
          <w:b w:val="0"/>
          <w:bCs/>
          <w:sz w:val="24"/>
        </w:rPr>
      </w:pPr>
      <w:r>
        <w:rPr>
          <w:rFonts w:hint="eastAsia"/>
          <w:b w:val="0"/>
          <w:bCs/>
          <w:sz w:val="24"/>
        </w:rPr>
        <w:t>同意86,423,200股，占出席会议的中小股东所持有效表决权股份的97.7802％；反对1,961,200股，占出席会议的中小股东所持有效表决权股份的2.2189％；弃权800股（其中，因未投票默认弃权0股），占出席会议的中小股东所持有效表决权股份的0.0009％。</w:t>
      </w:r>
    </w:p>
    <w:p>
      <w:pPr>
        <w:snapToGrid w:val="0"/>
        <w:spacing w:line="440" w:lineRule="exact"/>
        <w:ind w:firstLine="480" w:firstLineChars="200"/>
        <w:outlineLvl w:val="1"/>
        <w:rPr>
          <w:rFonts w:hint="eastAsia"/>
          <w:b w:val="0"/>
          <w:bCs/>
          <w:sz w:val="24"/>
        </w:rPr>
      </w:pPr>
      <w:r>
        <w:rPr>
          <w:rFonts w:hint="eastAsia"/>
          <w:b w:val="0"/>
          <w:bCs/>
          <w:color w:val="auto"/>
          <w:sz w:val="24"/>
          <w:lang w:val="en-US" w:eastAsia="zh-CN"/>
        </w:rPr>
        <w:t>交易对方</w:t>
      </w:r>
      <w:r>
        <w:rPr>
          <w:rFonts w:hint="eastAsia"/>
          <w:b w:val="0"/>
          <w:bCs/>
          <w:color w:val="auto"/>
          <w:sz w:val="24"/>
        </w:rPr>
        <w:t>中广核核技术应用有限公司（持有公司</w:t>
      </w:r>
      <w:r>
        <w:rPr>
          <w:rFonts w:hint="eastAsia"/>
          <w:b w:val="0"/>
          <w:bCs/>
          <w:color w:val="auto"/>
          <w:sz w:val="24"/>
          <w:lang w:val="en-US" w:eastAsia="zh-CN"/>
        </w:rPr>
        <w:t>264,894,398</w:t>
      </w:r>
      <w:r>
        <w:rPr>
          <w:rFonts w:hint="eastAsia"/>
          <w:b w:val="0"/>
          <w:bCs/>
          <w:color w:val="auto"/>
          <w:sz w:val="24"/>
        </w:rPr>
        <w:t>股）和中国大连国际经济技术合作集团有限公司（持有公司118,914,273股）合计持有的383,808,671 股回避表决。</w:t>
      </w:r>
    </w:p>
    <w:p>
      <w:pPr>
        <w:pStyle w:val="24"/>
        <w:spacing w:line="440" w:lineRule="exact"/>
        <w:ind w:firstLine="480" w:firstLineChars="200"/>
        <w:jc w:val="both"/>
        <w:rPr>
          <w:rFonts w:hint="eastAsia"/>
          <w:b/>
        </w:rPr>
      </w:pPr>
      <w:r>
        <w:rPr>
          <w:rFonts w:hint="eastAsia"/>
          <w:bCs/>
        </w:rPr>
        <w:t>表决结果：通过</w:t>
      </w:r>
      <w:r>
        <w:rPr>
          <w:rFonts w:hint="eastAsia"/>
          <w:bCs/>
          <w:color w:val="auto"/>
        </w:rPr>
        <w:t>。</w:t>
      </w:r>
    </w:p>
    <w:p>
      <w:pPr>
        <w:snapToGrid w:val="0"/>
        <w:spacing w:line="440" w:lineRule="exact"/>
        <w:ind w:firstLine="482" w:firstLineChars="200"/>
        <w:outlineLvl w:val="1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提案9.00 《关于2023年年度报告及摘要的议案》</w:t>
      </w:r>
    </w:p>
    <w:p>
      <w:pPr>
        <w:snapToGrid w:val="0"/>
        <w:spacing w:line="440" w:lineRule="exact"/>
        <w:ind w:firstLine="480" w:firstLineChars="200"/>
        <w:outlineLvl w:val="1"/>
        <w:rPr>
          <w:rFonts w:hint="eastAsia"/>
          <w:b w:val="0"/>
          <w:bCs/>
          <w:sz w:val="24"/>
        </w:rPr>
      </w:pPr>
      <w:r>
        <w:rPr>
          <w:rFonts w:hint="eastAsia"/>
          <w:b w:val="0"/>
          <w:bCs/>
          <w:sz w:val="24"/>
        </w:rPr>
        <w:t>总表决情况：</w:t>
      </w:r>
    </w:p>
    <w:p>
      <w:pPr>
        <w:snapToGrid w:val="0"/>
        <w:spacing w:line="440" w:lineRule="exact"/>
        <w:ind w:firstLine="480" w:firstLineChars="200"/>
        <w:outlineLvl w:val="1"/>
        <w:rPr>
          <w:rFonts w:hint="eastAsia"/>
          <w:b w:val="0"/>
          <w:bCs/>
          <w:sz w:val="24"/>
        </w:rPr>
      </w:pPr>
      <w:r>
        <w:rPr>
          <w:rFonts w:hint="eastAsia"/>
          <w:b w:val="0"/>
          <w:bCs/>
          <w:sz w:val="24"/>
        </w:rPr>
        <w:t>同意472,007,071股，占出席会议所有股东所持股份的99.9604％；反对108,100股，占出席会议所有股东所持股份的0.0229％；弃权78,700股（其中，因未投票默认弃权0股），占出席会议所有股东所持股份的0.0167％。</w:t>
      </w:r>
    </w:p>
    <w:p>
      <w:pPr>
        <w:snapToGrid w:val="0"/>
        <w:spacing w:line="440" w:lineRule="exact"/>
        <w:ind w:firstLine="480" w:firstLineChars="200"/>
        <w:outlineLvl w:val="1"/>
        <w:rPr>
          <w:rFonts w:hint="eastAsia"/>
          <w:b w:val="0"/>
          <w:bCs/>
          <w:sz w:val="24"/>
        </w:rPr>
      </w:pPr>
      <w:r>
        <w:rPr>
          <w:rFonts w:hint="eastAsia"/>
          <w:b w:val="0"/>
          <w:bCs/>
          <w:sz w:val="24"/>
        </w:rPr>
        <w:t>中小股东总表决情况：</w:t>
      </w:r>
    </w:p>
    <w:p>
      <w:pPr>
        <w:snapToGrid w:val="0"/>
        <w:spacing w:line="440" w:lineRule="exact"/>
        <w:ind w:firstLine="480" w:firstLineChars="200"/>
        <w:outlineLvl w:val="1"/>
        <w:rPr>
          <w:rFonts w:hint="eastAsia"/>
          <w:b/>
          <w:sz w:val="24"/>
        </w:rPr>
      </w:pPr>
      <w:r>
        <w:rPr>
          <w:rFonts w:hint="eastAsia"/>
          <w:b w:val="0"/>
          <w:bCs/>
          <w:sz w:val="24"/>
        </w:rPr>
        <w:t>同意88,198,400股，占出席会议的中小股东所持股份的99.7887％；反对108,100股，占出席会议的中小股东所持股份的0.1223％；弃权78,700股（其中，因未投票默认弃权0股），占出席会议的中小股东所持股份的0.0890％。</w:t>
      </w:r>
    </w:p>
    <w:p>
      <w:pPr>
        <w:pStyle w:val="24"/>
        <w:spacing w:line="440" w:lineRule="exact"/>
        <w:ind w:firstLine="480" w:firstLineChars="200"/>
        <w:jc w:val="both"/>
        <w:rPr>
          <w:rFonts w:hint="eastAsia"/>
          <w:b/>
        </w:rPr>
      </w:pPr>
      <w:r>
        <w:rPr>
          <w:rFonts w:hint="eastAsia"/>
          <w:bCs/>
        </w:rPr>
        <w:t>表决结果：通过</w:t>
      </w:r>
      <w:r>
        <w:rPr>
          <w:rFonts w:hint="eastAsia"/>
          <w:bCs/>
          <w:color w:val="auto"/>
        </w:rPr>
        <w:t>。</w:t>
      </w:r>
    </w:p>
    <w:p>
      <w:pPr>
        <w:snapToGrid w:val="0"/>
        <w:spacing w:line="440" w:lineRule="exact"/>
        <w:ind w:firstLine="482" w:firstLineChars="200"/>
        <w:outlineLvl w:val="1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提案10.00 《关于修订＜公司章程＞的议案》</w:t>
      </w:r>
    </w:p>
    <w:p>
      <w:pPr>
        <w:snapToGrid w:val="0"/>
        <w:spacing w:line="440" w:lineRule="exact"/>
        <w:ind w:firstLine="480" w:firstLineChars="200"/>
        <w:outlineLvl w:val="1"/>
        <w:rPr>
          <w:rFonts w:hint="eastAsia"/>
          <w:b w:val="0"/>
          <w:bCs/>
          <w:sz w:val="24"/>
        </w:rPr>
      </w:pPr>
      <w:r>
        <w:rPr>
          <w:rFonts w:hint="eastAsia"/>
          <w:b w:val="0"/>
          <w:bCs/>
          <w:sz w:val="24"/>
        </w:rPr>
        <w:t>总表决情况：</w:t>
      </w:r>
    </w:p>
    <w:p>
      <w:pPr>
        <w:snapToGrid w:val="0"/>
        <w:spacing w:line="440" w:lineRule="exact"/>
        <w:ind w:firstLine="480" w:firstLineChars="200"/>
        <w:outlineLvl w:val="1"/>
        <w:rPr>
          <w:rFonts w:hint="eastAsia"/>
          <w:b w:val="0"/>
          <w:bCs/>
          <w:sz w:val="24"/>
        </w:rPr>
      </w:pPr>
      <w:r>
        <w:rPr>
          <w:rFonts w:hint="eastAsia"/>
          <w:b w:val="0"/>
          <w:bCs/>
          <w:sz w:val="24"/>
        </w:rPr>
        <w:t>同意467,077,392股，占出席会议所有股东所持股份的98.9164％；反对5,110,979股，占出席会议所有股东所持股份的1.0824％；弃权5,500股（其中，因未投票默认弃权0股），占出席会议所有股东所持股份的0.0012％。</w:t>
      </w:r>
    </w:p>
    <w:p>
      <w:pPr>
        <w:snapToGrid w:val="0"/>
        <w:spacing w:line="440" w:lineRule="exact"/>
        <w:ind w:firstLine="480" w:firstLineChars="200"/>
        <w:outlineLvl w:val="1"/>
        <w:rPr>
          <w:rFonts w:hint="eastAsia"/>
          <w:b w:val="0"/>
          <w:bCs/>
          <w:sz w:val="24"/>
        </w:rPr>
      </w:pPr>
      <w:r>
        <w:rPr>
          <w:rFonts w:hint="eastAsia"/>
          <w:b w:val="0"/>
          <w:bCs/>
          <w:sz w:val="24"/>
        </w:rPr>
        <w:t>中小股东总表决情况：</w:t>
      </w:r>
    </w:p>
    <w:p>
      <w:pPr>
        <w:snapToGrid w:val="0"/>
        <w:spacing w:line="440" w:lineRule="exact"/>
        <w:ind w:firstLine="480" w:firstLineChars="200"/>
        <w:outlineLvl w:val="1"/>
        <w:rPr>
          <w:rFonts w:hint="eastAsia"/>
          <w:b w:val="0"/>
          <w:bCs/>
          <w:sz w:val="24"/>
        </w:rPr>
      </w:pPr>
      <w:r>
        <w:rPr>
          <w:rFonts w:hint="eastAsia"/>
          <w:b w:val="0"/>
          <w:bCs/>
          <w:sz w:val="24"/>
        </w:rPr>
        <w:t>同意83,268,721股，占出席会议的中小股东所持股份的94.2112％；反对5,110,979股，占出席会议的中小股东所持股份的5.7826％；弃权5,500股（其中，因未投票默认弃权0股），占出席会议的中小股东所持股份的0.0062％。</w:t>
      </w:r>
    </w:p>
    <w:p>
      <w:pPr>
        <w:snapToGrid w:val="0"/>
        <w:spacing w:line="440" w:lineRule="exact"/>
        <w:ind w:firstLine="480" w:firstLineChars="200"/>
        <w:outlineLvl w:val="1"/>
        <w:rPr>
          <w:rFonts w:hint="eastAsia"/>
          <w:b w:val="0"/>
          <w:bCs/>
          <w:sz w:val="24"/>
        </w:rPr>
      </w:pPr>
      <w:r>
        <w:rPr>
          <w:rFonts w:hint="eastAsia"/>
          <w:b w:val="0"/>
          <w:bCs/>
          <w:sz w:val="24"/>
        </w:rPr>
        <w:t>该提案属于以特别决议通过的提案，已获得出席本次会议的有效表决权股份总数的2/3以上同意通过。</w:t>
      </w:r>
    </w:p>
    <w:p>
      <w:pPr>
        <w:pStyle w:val="24"/>
        <w:spacing w:line="440" w:lineRule="exact"/>
        <w:ind w:firstLine="480" w:firstLineChars="200"/>
        <w:jc w:val="both"/>
        <w:rPr>
          <w:rFonts w:hint="eastAsia"/>
          <w:b/>
        </w:rPr>
      </w:pPr>
      <w:r>
        <w:rPr>
          <w:rFonts w:hint="eastAsia"/>
          <w:bCs/>
        </w:rPr>
        <w:t>表决结果：通过</w:t>
      </w:r>
      <w:r>
        <w:rPr>
          <w:rFonts w:hint="eastAsia"/>
          <w:bCs/>
          <w:color w:val="auto"/>
        </w:rPr>
        <w:t>。</w:t>
      </w:r>
    </w:p>
    <w:p>
      <w:pPr>
        <w:snapToGrid w:val="0"/>
        <w:spacing w:line="440" w:lineRule="exact"/>
        <w:ind w:firstLine="482" w:firstLineChars="200"/>
        <w:outlineLvl w:val="0"/>
        <w:rPr>
          <w:b/>
          <w:sz w:val="24"/>
        </w:rPr>
      </w:pPr>
      <w:r>
        <w:rPr>
          <w:b/>
          <w:sz w:val="24"/>
        </w:rPr>
        <w:t>三、律师出具的法律意见</w:t>
      </w:r>
    </w:p>
    <w:p>
      <w:pPr>
        <w:autoSpaceDE w:val="0"/>
        <w:autoSpaceDN w:val="0"/>
        <w:adjustRightInd w:val="0"/>
        <w:spacing w:line="440" w:lineRule="exact"/>
        <w:ind w:firstLine="480" w:firstLineChars="200"/>
        <w:rPr>
          <w:color w:val="auto"/>
          <w:kern w:val="0"/>
          <w:sz w:val="24"/>
        </w:rPr>
      </w:pPr>
      <w:r>
        <w:rPr>
          <w:color w:val="auto"/>
          <w:kern w:val="0"/>
          <w:sz w:val="24"/>
        </w:rPr>
        <w:t>律师事务所名称：</w:t>
      </w:r>
      <w:r>
        <w:rPr>
          <w:rFonts w:hint="eastAsia"/>
          <w:color w:val="auto"/>
          <w:kern w:val="0"/>
          <w:sz w:val="24"/>
        </w:rPr>
        <w:t>北京市君合（深圳）律师事务所</w:t>
      </w:r>
    </w:p>
    <w:p>
      <w:pPr>
        <w:autoSpaceDE w:val="0"/>
        <w:autoSpaceDN w:val="0"/>
        <w:adjustRightInd w:val="0"/>
        <w:spacing w:line="440" w:lineRule="exact"/>
        <w:ind w:firstLine="480" w:firstLineChars="200"/>
        <w:rPr>
          <w:color w:val="auto"/>
          <w:kern w:val="0"/>
          <w:sz w:val="24"/>
        </w:rPr>
      </w:pPr>
      <w:r>
        <w:rPr>
          <w:color w:val="auto"/>
          <w:kern w:val="0"/>
          <w:sz w:val="24"/>
        </w:rPr>
        <w:t>律师姓名：</w:t>
      </w:r>
      <w:r>
        <w:rPr>
          <w:rFonts w:hint="eastAsia"/>
          <w:color w:val="auto"/>
          <w:kern w:val="0"/>
          <w:sz w:val="24"/>
        </w:rPr>
        <w:t>夏晓露、冉研</w:t>
      </w:r>
    </w:p>
    <w:p>
      <w:pPr>
        <w:autoSpaceDE w:val="0"/>
        <w:autoSpaceDN w:val="0"/>
        <w:adjustRightInd w:val="0"/>
        <w:spacing w:line="440" w:lineRule="exact"/>
        <w:ind w:firstLine="480" w:firstLineChars="200"/>
        <w:rPr>
          <w:sz w:val="24"/>
        </w:rPr>
      </w:pPr>
      <w:r>
        <w:rPr>
          <w:kern w:val="0"/>
          <w:sz w:val="24"/>
        </w:rPr>
        <w:t>结论性意见：</w:t>
      </w:r>
      <w:r>
        <w:rPr>
          <w:rFonts w:hint="eastAsia"/>
          <w:sz w:val="24"/>
        </w:rPr>
        <w:t>本所律师认为，贵公司本次股东大会的召集及召开程序、审议的议案符合《公司法》、《股东大会规则》、《上市公司治理准则》等法律、行政法规、规范性文件及《公司章程》、《股东大会议事规则》的规定；本次股东大会的召集人及出席本次股东大会的股东、股东代理人、其他人员的资格合法有效，本次股东大会的表决程序与表决结果合法有效。</w:t>
      </w:r>
    </w:p>
    <w:p>
      <w:pPr>
        <w:autoSpaceDE w:val="0"/>
        <w:autoSpaceDN w:val="0"/>
        <w:adjustRightInd w:val="0"/>
        <w:spacing w:line="440" w:lineRule="exact"/>
        <w:ind w:firstLine="482" w:firstLineChars="200"/>
        <w:rPr>
          <w:b/>
          <w:sz w:val="24"/>
        </w:rPr>
      </w:pPr>
      <w:r>
        <w:rPr>
          <w:b/>
          <w:sz w:val="24"/>
        </w:rPr>
        <w:t>四、备查文件</w:t>
      </w:r>
    </w:p>
    <w:p>
      <w:pPr>
        <w:autoSpaceDE w:val="0"/>
        <w:autoSpaceDN w:val="0"/>
        <w:adjustRightInd w:val="0"/>
        <w:spacing w:line="440" w:lineRule="exact"/>
        <w:ind w:firstLine="480" w:firstLineChars="200"/>
        <w:rPr>
          <w:color w:val="auto"/>
          <w:kern w:val="0"/>
          <w:sz w:val="24"/>
        </w:rPr>
      </w:pPr>
      <w:r>
        <w:rPr>
          <w:color w:val="auto"/>
          <w:kern w:val="0"/>
          <w:sz w:val="24"/>
        </w:rPr>
        <w:t>1、</w:t>
      </w:r>
      <w:r>
        <w:rPr>
          <w:rFonts w:hint="eastAsia"/>
          <w:color w:val="auto"/>
          <w:kern w:val="0"/>
          <w:sz w:val="24"/>
        </w:rPr>
        <w:t>经与会董事和记录人签字确认并加盖董事会印章的股东大会决议</w:t>
      </w:r>
      <w:r>
        <w:rPr>
          <w:color w:val="auto"/>
          <w:kern w:val="0"/>
          <w:sz w:val="24"/>
        </w:rPr>
        <w:t>；</w:t>
      </w:r>
    </w:p>
    <w:p>
      <w:pPr>
        <w:spacing w:line="440" w:lineRule="exact"/>
        <w:ind w:firstLine="480" w:firstLineChars="200"/>
        <w:rPr>
          <w:color w:val="auto"/>
          <w:sz w:val="28"/>
          <w:szCs w:val="28"/>
        </w:rPr>
      </w:pPr>
      <w:r>
        <w:rPr>
          <w:color w:val="auto"/>
          <w:kern w:val="0"/>
          <w:sz w:val="24"/>
        </w:rPr>
        <w:t>2、</w:t>
      </w:r>
      <w:r>
        <w:rPr>
          <w:rFonts w:hint="eastAsia"/>
          <w:color w:val="auto"/>
          <w:kern w:val="0"/>
          <w:sz w:val="24"/>
        </w:rPr>
        <w:t>北京市君合（深圳）律师事务所出具的法律意见书</w:t>
      </w:r>
      <w:r>
        <w:rPr>
          <w:color w:val="auto"/>
          <w:kern w:val="0"/>
          <w:sz w:val="24"/>
        </w:rPr>
        <w:t>。</w:t>
      </w:r>
    </w:p>
    <w:p>
      <w:pPr>
        <w:autoSpaceDE w:val="0"/>
        <w:autoSpaceDN w:val="0"/>
        <w:adjustRightInd w:val="0"/>
        <w:spacing w:line="440" w:lineRule="exact"/>
        <w:ind w:firstLine="480" w:firstLineChars="200"/>
        <w:rPr>
          <w:color w:val="auto"/>
          <w:kern w:val="0"/>
          <w:sz w:val="24"/>
        </w:rPr>
      </w:pPr>
      <w:r>
        <w:rPr>
          <w:color w:val="auto"/>
          <w:kern w:val="0"/>
          <w:sz w:val="24"/>
        </w:rPr>
        <w:t>特此公告。</w:t>
      </w:r>
    </w:p>
    <w:p>
      <w:pPr>
        <w:autoSpaceDE w:val="0"/>
        <w:autoSpaceDN w:val="0"/>
        <w:adjustRightInd w:val="0"/>
        <w:spacing w:line="440" w:lineRule="exact"/>
        <w:ind w:firstLine="480" w:firstLineChars="200"/>
        <w:rPr>
          <w:color w:val="000000"/>
          <w:kern w:val="0"/>
          <w:sz w:val="24"/>
        </w:rPr>
      </w:pPr>
    </w:p>
    <w:p>
      <w:pPr>
        <w:autoSpaceDE w:val="0"/>
        <w:autoSpaceDN w:val="0"/>
        <w:adjustRightInd w:val="0"/>
        <w:spacing w:line="440" w:lineRule="exact"/>
        <w:ind w:firstLine="480" w:firstLineChars="200"/>
        <w:rPr>
          <w:rFonts w:hint="eastAsia"/>
          <w:color w:val="000000"/>
          <w:kern w:val="0"/>
          <w:sz w:val="24"/>
        </w:rPr>
      </w:pPr>
    </w:p>
    <w:p>
      <w:pPr>
        <w:autoSpaceDE w:val="0"/>
        <w:autoSpaceDN w:val="0"/>
        <w:adjustRightInd w:val="0"/>
        <w:spacing w:line="440" w:lineRule="exact"/>
        <w:ind w:firstLine="480" w:firstLineChars="200"/>
        <w:rPr>
          <w:color w:val="000000"/>
          <w:kern w:val="0"/>
          <w:sz w:val="24"/>
        </w:rPr>
      </w:pPr>
    </w:p>
    <w:p>
      <w:pPr>
        <w:autoSpaceDE w:val="0"/>
        <w:autoSpaceDN w:val="0"/>
        <w:adjustRightInd w:val="0"/>
        <w:spacing w:line="440" w:lineRule="exact"/>
        <w:ind w:firstLine="482" w:firstLineChars="200"/>
        <w:jc w:val="right"/>
        <w:rPr>
          <w:b/>
          <w:color w:val="000000"/>
          <w:kern w:val="0"/>
          <w:sz w:val="24"/>
        </w:rPr>
      </w:pPr>
      <w:r>
        <w:rPr>
          <w:b/>
          <w:color w:val="000000"/>
          <w:kern w:val="0"/>
          <w:sz w:val="24"/>
        </w:rPr>
        <w:t>中广核核技术发展股份有限公司</w:t>
      </w:r>
    </w:p>
    <w:p>
      <w:pPr>
        <w:autoSpaceDE w:val="0"/>
        <w:autoSpaceDN w:val="0"/>
        <w:adjustRightInd w:val="0"/>
        <w:spacing w:line="440" w:lineRule="exact"/>
        <w:ind w:firstLine="482" w:firstLineChars="200"/>
        <w:jc w:val="right"/>
        <w:rPr>
          <w:b/>
          <w:color w:val="000000"/>
          <w:kern w:val="0"/>
          <w:sz w:val="24"/>
        </w:rPr>
      </w:pPr>
      <w:r>
        <w:rPr>
          <w:b/>
          <w:color w:val="000000"/>
          <w:kern w:val="0"/>
          <w:sz w:val="24"/>
        </w:rPr>
        <w:t>董事会</w:t>
      </w:r>
    </w:p>
    <w:p>
      <w:pPr>
        <w:autoSpaceDE w:val="0"/>
        <w:autoSpaceDN w:val="0"/>
        <w:adjustRightInd w:val="0"/>
        <w:spacing w:line="440" w:lineRule="exact"/>
        <w:ind w:firstLine="482" w:firstLineChars="200"/>
        <w:jc w:val="right"/>
        <w:rPr>
          <w:b/>
        </w:rPr>
      </w:pPr>
      <w:bookmarkStart w:id="0" w:name="_GoBack"/>
      <w:bookmarkEnd w:id="0"/>
      <w:r>
        <w:rPr>
          <w:b/>
          <w:color w:val="000000"/>
          <w:kern w:val="0"/>
          <w:sz w:val="24"/>
        </w:rPr>
        <w:t>202</w:t>
      </w:r>
      <w:r>
        <w:rPr>
          <w:rFonts w:hint="eastAsia"/>
          <w:b/>
          <w:color w:val="000000"/>
          <w:kern w:val="0"/>
          <w:sz w:val="24"/>
          <w:lang w:val="en-US" w:eastAsia="zh-CN"/>
        </w:rPr>
        <w:t>4</w:t>
      </w:r>
      <w:r>
        <w:rPr>
          <w:b/>
          <w:color w:val="000000"/>
          <w:kern w:val="0"/>
          <w:sz w:val="24"/>
        </w:rPr>
        <w:t>年</w:t>
      </w:r>
      <w:r>
        <w:rPr>
          <w:rFonts w:hint="eastAsia"/>
          <w:b/>
          <w:color w:val="000000"/>
          <w:kern w:val="0"/>
          <w:sz w:val="24"/>
        </w:rPr>
        <w:t>5</w:t>
      </w:r>
      <w:r>
        <w:rPr>
          <w:b/>
          <w:color w:val="000000"/>
          <w:kern w:val="0"/>
          <w:sz w:val="24"/>
        </w:rPr>
        <w:t>月</w:t>
      </w:r>
      <w:r>
        <w:rPr>
          <w:rFonts w:hint="eastAsia"/>
          <w:b/>
          <w:color w:val="000000"/>
          <w:kern w:val="0"/>
          <w:sz w:val="24"/>
          <w:lang w:val="en-US" w:eastAsia="zh-CN"/>
        </w:rPr>
        <w:t>1</w:t>
      </w:r>
      <w:r>
        <w:rPr>
          <w:rFonts w:hint="eastAsia"/>
          <w:b/>
          <w:color w:val="000000"/>
          <w:kern w:val="0"/>
          <w:sz w:val="24"/>
          <w:lang w:val="en-US" w:eastAsia="zh-CN"/>
        </w:rPr>
        <w:t>8</w:t>
      </w:r>
      <w:r>
        <w:rPr>
          <w:b/>
          <w:color w:val="000000"/>
          <w:kern w:val="0"/>
          <w:sz w:val="24"/>
        </w:rPr>
        <w:t>日</w:t>
      </w:r>
    </w:p>
    <w:sectPr>
      <w:footerReference r:id="rId3" w:type="even"/>
      <w:pgSz w:w="11906" w:h="16838"/>
      <w:pgMar w:top="1418" w:right="1701" w:bottom="1418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1" w:usb1="080E0000" w:usb2="00000010" w:usb3="00000000" w:csb0="00040000" w:csb1="00000000"/>
  </w:font>
  <w:font w:name="..ì.">
    <w:altName w:val="宋体"/>
    <w:panose1 w:val="00000000000000000000"/>
    <w:charset w:val="86"/>
    <w:family w:val="roma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3"/>
      </w:rPr>
    </w:pPr>
    <w:r>
      <w:rPr>
        <w:rStyle w:val="13"/>
      </w:rPr>
      <w:fldChar w:fldCharType="begin"/>
    </w:r>
    <w:r>
      <w:rPr>
        <w:rStyle w:val="13"/>
      </w:rPr>
      <w:instrText xml:space="preserve">PAGE  </w:instrText>
    </w:r>
    <w:r>
      <w:rPr>
        <w:rStyle w:val="13"/>
      </w:rPr>
      <w:fldChar w:fldCharType="end"/>
    </w:r>
  </w:p>
  <w:p>
    <w:pPr>
      <w:pStyle w:val="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3B143C"/>
    <w:multiLevelType w:val="multilevel"/>
    <w:tmpl w:val="583B143C"/>
    <w:lvl w:ilvl="0" w:tentative="0">
      <w:start w:val="1"/>
      <w:numFmt w:val="decimal"/>
      <w:pStyle w:val="22"/>
      <w:lvlText w:val="%1."/>
      <w:lvlJc w:val="left"/>
      <w:pPr>
        <w:tabs>
          <w:tab w:val="left" w:pos="1420"/>
        </w:tabs>
        <w:ind w:left="567" w:firstLine="433"/>
      </w:pPr>
      <w:rPr>
        <w:rFonts w:hint="eastAsia"/>
      </w:rPr>
    </w:lvl>
    <w:lvl w:ilvl="1" w:tentative="0">
      <w:start w:val="1"/>
      <w:numFmt w:val="decimal"/>
      <w:lvlText w:val="%2."/>
      <w:lvlJc w:val="left"/>
      <w:pPr>
        <w:tabs>
          <w:tab w:val="left" w:pos="840"/>
        </w:tabs>
        <w:ind w:left="-13" w:firstLine="43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523"/>
    <w:rsid w:val="00003452"/>
    <w:rsid w:val="00004D9F"/>
    <w:rsid w:val="000056FB"/>
    <w:rsid w:val="000058D0"/>
    <w:rsid w:val="00007506"/>
    <w:rsid w:val="0001261C"/>
    <w:rsid w:val="0001361A"/>
    <w:rsid w:val="00014F6C"/>
    <w:rsid w:val="0001628C"/>
    <w:rsid w:val="00016771"/>
    <w:rsid w:val="00016C82"/>
    <w:rsid w:val="00016E2F"/>
    <w:rsid w:val="00020949"/>
    <w:rsid w:val="00022E72"/>
    <w:rsid w:val="00024944"/>
    <w:rsid w:val="00024BBD"/>
    <w:rsid w:val="00031102"/>
    <w:rsid w:val="00037365"/>
    <w:rsid w:val="000404B7"/>
    <w:rsid w:val="00042F9D"/>
    <w:rsid w:val="00047D81"/>
    <w:rsid w:val="00053EF4"/>
    <w:rsid w:val="00055527"/>
    <w:rsid w:val="00060B23"/>
    <w:rsid w:val="00062854"/>
    <w:rsid w:val="00064239"/>
    <w:rsid w:val="000679A7"/>
    <w:rsid w:val="00072415"/>
    <w:rsid w:val="00072900"/>
    <w:rsid w:val="00075642"/>
    <w:rsid w:val="00075E47"/>
    <w:rsid w:val="00077314"/>
    <w:rsid w:val="0008067D"/>
    <w:rsid w:val="00083C23"/>
    <w:rsid w:val="00083C79"/>
    <w:rsid w:val="0008760B"/>
    <w:rsid w:val="000921B9"/>
    <w:rsid w:val="000922D3"/>
    <w:rsid w:val="000951C9"/>
    <w:rsid w:val="00095BE6"/>
    <w:rsid w:val="0009640A"/>
    <w:rsid w:val="00096E48"/>
    <w:rsid w:val="000A042C"/>
    <w:rsid w:val="000B2076"/>
    <w:rsid w:val="000B7CBC"/>
    <w:rsid w:val="000C0D41"/>
    <w:rsid w:val="000C3737"/>
    <w:rsid w:val="000C5467"/>
    <w:rsid w:val="000C7F46"/>
    <w:rsid w:val="000D402B"/>
    <w:rsid w:val="000D47C9"/>
    <w:rsid w:val="000D59C0"/>
    <w:rsid w:val="000D6A0B"/>
    <w:rsid w:val="000D7493"/>
    <w:rsid w:val="000D764B"/>
    <w:rsid w:val="000D7D2D"/>
    <w:rsid w:val="000E1C6A"/>
    <w:rsid w:val="000E5F30"/>
    <w:rsid w:val="000E656F"/>
    <w:rsid w:val="000E784B"/>
    <w:rsid w:val="000F2233"/>
    <w:rsid w:val="000F2C5D"/>
    <w:rsid w:val="000F4346"/>
    <w:rsid w:val="00100313"/>
    <w:rsid w:val="0010205E"/>
    <w:rsid w:val="00104DB0"/>
    <w:rsid w:val="001201B5"/>
    <w:rsid w:val="001223DA"/>
    <w:rsid w:val="0012318E"/>
    <w:rsid w:val="00124ABD"/>
    <w:rsid w:val="001251B6"/>
    <w:rsid w:val="001253F7"/>
    <w:rsid w:val="00133C0D"/>
    <w:rsid w:val="001344D3"/>
    <w:rsid w:val="0013515D"/>
    <w:rsid w:val="00140596"/>
    <w:rsid w:val="001415A5"/>
    <w:rsid w:val="00143C43"/>
    <w:rsid w:val="00146AAE"/>
    <w:rsid w:val="0014756C"/>
    <w:rsid w:val="001513E4"/>
    <w:rsid w:val="001537A8"/>
    <w:rsid w:val="00153909"/>
    <w:rsid w:val="00161343"/>
    <w:rsid w:val="001622DE"/>
    <w:rsid w:val="001630DD"/>
    <w:rsid w:val="00164462"/>
    <w:rsid w:val="00175B9B"/>
    <w:rsid w:val="00180DCB"/>
    <w:rsid w:val="001928C4"/>
    <w:rsid w:val="00195A8C"/>
    <w:rsid w:val="00196D01"/>
    <w:rsid w:val="001972AE"/>
    <w:rsid w:val="001A229F"/>
    <w:rsid w:val="001A2B90"/>
    <w:rsid w:val="001A4150"/>
    <w:rsid w:val="001A78B5"/>
    <w:rsid w:val="001B0A9F"/>
    <w:rsid w:val="001B0CB2"/>
    <w:rsid w:val="001B274D"/>
    <w:rsid w:val="001B4349"/>
    <w:rsid w:val="001B5794"/>
    <w:rsid w:val="001C0E91"/>
    <w:rsid w:val="001C201B"/>
    <w:rsid w:val="001C20DB"/>
    <w:rsid w:val="001C34E4"/>
    <w:rsid w:val="001C5AC9"/>
    <w:rsid w:val="001C7523"/>
    <w:rsid w:val="001D0676"/>
    <w:rsid w:val="001D10E6"/>
    <w:rsid w:val="001D1A95"/>
    <w:rsid w:val="001D7942"/>
    <w:rsid w:val="001E41FF"/>
    <w:rsid w:val="001E5566"/>
    <w:rsid w:val="001E5BF9"/>
    <w:rsid w:val="001E7D68"/>
    <w:rsid w:val="001F05C8"/>
    <w:rsid w:val="001F4CD4"/>
    <w:rsid w:val="001F71ED"/>
    <w:rsid w:val="001F76EF"/>
    <w:rsid w:val="00200232"/>
    <w:rsid w:val="0020258E"/>
    <w:rsid w:val="00213F57"/>
    <w:rsid w:val="00215AC6"/>
    <w:rsid w:val="00222207"/>
    <w:rsid w:val="00222352"/>
    <w:rsid w:val="002269D0"/>
    <w:rsid w:val="00232484"/>
    <w:rsid w:val="00233CB0"/>
    <w:rsid w:val="0024299B"/>
    <w:rsid w:val="0024325D"/>
    <w:rsid w:val="00250C9B"/>
    <w:rsid w:val="00260B59"/>
    <w:rsid w:val="00260CAE"/>
    <w:rsid w:val="0026207A"/>
    <w:rsid w:val="00262C98"/>
    <w:rsid w:val="00262D79"/>
    <w:rsid w:val="0026322F"/>
    <w:rsid w:val="00263271"/>
    <w:rsid w:val="00266AB7"/>
    <w:rsid w:val="00270B19"/>
    <w:rsid w:val="002710E7"/>
    <w:rsid w:val="00272734"/>
    <w:rsid w:val="002745FD"/>
    <w:rsid w:val="00275020"/>
    <w:rsid w:val="00282C55"/>
    <w:rsid w:val="00283B7E"/>
    <w:rsid w:val="00293FE2"/>
    <w:rsid w:val="00294E5A"/>
    <w:rsid w:val="00295A8F"/>
    <w:rsid w:val="002969A3"/>
    <w:rsid w:val="002A137C"/>
    <w:rsid w:val="002A2B2C"/>
    <w:rsid w:val="002A406D"/>
    <w:rsid w:val="002B4125"/>
    <w:rsid w:val="002B7D70"/>
    <w:rsid w:val="002C0D79"/>
    <w:rsid w:val="002C225E"/>
    <w:rsid w:val="002C5FDA"/>
    <w:rsid w:val="002C68DA"/>
    <w:rsid w:val="002D13E6"/>
    <w:rsid w:val="002D43F0"/>
    <w:rsid w:val="002D4CA6"/>
    <w:rsid w:val="002D6C6A"/>
    <w:rsid w:val="002D74FD"/>
    <w:rsid w:val="002E0BD3"/>
    <w:rsid w:val="002E6CF4"/>
    <w:rsid w:val="002E7F53"/>
    <w:rsid w:val="002F1F61"/>
    <w:rsid w:val="002F504C"/>
    <w:rsid w:val="002F63B8"/>
    <w:rsid w:val="002F73B0"/>
    <w:rsid w:val="00301EB8"/>
    <w:rsid w:val="00302637"/>
    <w:rsid w:val="00304F07"/>
    <w:rsid w:val="003056FA"/>
    <w:rsid w:val="00305ABE"/>
    <w:rsid w:val="00307B72"/>
    <w:rsid w:val="003102C4"/>
    <w:rsid w:val="00311306"/>
    <w:rsid w:val="0031657C"/>
    <w:rsid w:val="00325C2E"/>
    <w:rsid w:val="00330161"/>
    <w:rsid w:val="00333322"/>
    <w:rsid w:val="0033343F"/>
    <w:rsid w:val="0033364F"/>
    <w:rsid w:val="00335500"/>
    <w:rsid w:val="00335938"/>
    <w:rsid w:val="00335B3F"/>
    <w:rsid w:val="00346744"/>
    <w:rsid w:val="0034682F"/>
    <w:rsid w:val="00347191"/>
    <w:rsid w:val="0035311C"/>
    <w:rsid w:val="00360761"/>
    <w:rsid w:val="00365838"/>
    <w:rsid w:val="00365D5A"/>
    <w:rsid w:val="0036600F"/>
    <w:rsid w:val="0037024D"/>
    <w:rsid w:val="00370ACC"/>
    <w:rsid w:val="00374538"/>
    <w:rsid w:val="00375069"/>
    <w:rsid w:val="003759DE"/>
    <w:rsid w:val="003766B8"/>
    <w:rsid w:val="0037692C"/>
    <w:rsid w:val="00376F47"/>
    <w:rsid w:val="00377A6C"/>
    <w:rsid w:val="0038297E"/>
    <w:rsid w:val="00382E24"/>
    <w:rsid w:val="00382FE2"/>
    <w:rsid w:val="00390632"/>
    <w:rsid w:val="00391EC0"/>
    <w:rsid w:val="003927A8"/>
    <w:rsid w:val="00397C3E"/>
    <w:rsid w:val="003A4E04"/>
    <w:rsid w:val="003B35FA"/>
    <w:rsid w:val="003B4DC7"/>
    <w:rsid w:val="003B5937"/>
    <w:rsid w:val="003B78C3"/>
    <w:rsid w:val="003B7CE7"/>
    <w:rsid w:val="003C1047"/>
    <w:rsid w:val="003C2291"/>
    <w:rsid w:val="003C2DC2"/>
    <w:rsid w:val="003C4CE9"/>
    <w:rsid w:val="003C7DED"/>
    <w:rsid w:val="003D051A"/>
    <w:rsid w:val="003D2CDE"/>
    <w:rsid w:val="003D34D3"/>
    <w:rsid w:val="003D3EBF"/>
    <w:rsid w:val="003D54F1"/>
    <w:rsid w:val="003D7E3A"/>
    <w:rsid w:val="003E109D"/>
    <w:rsid w:val="003E11C0"/>
    <w:rsid w:val="003E370A"/>
    <w:rsid w:val="003E569D"/>
    <w:rsid w:val="003E5974"/>
    <w:rsid w:val="003E749F"/>
    <w:rsid w:val="003F4CF1"/>
    <w:rsid w:val="003F60F3"/>
    <w:rsid w:val="003F66E7"/>
    <w:rsid w:val="00400AF2"/>
    <w:rsid w:val="00402713"/>
    <w:rsid w:val="00404756"/>
    <w:rsid w:val="0040500F"/>
    <w:rsid w:val="00407E46"/>
    <w:rsid w:val="00410F67"/>
    <w:rsid w:val="0041163C"/>
    <w:rsid w:val="004147B4"/>
    <w:rsid w:val="00417218"/>
    <w:rsid w:val="00420D7B"/>
    <w:rsid w:val="004213E2"/>
    <w:rsid w:val="004227F2"/>
    <w:rsid w:val="00423C87"/>
    <w:rsid w:val="0042544B"/>
    <w:rsid w:val="0043024B"/>
    <w:rsid w:val="00432164"/>
    <w:rsid w:val="00432BDE"/>
    <w:rsid w:val="00433E90"/>
    <w:rsid w:val="00441AEA"/>
    <w:rsid w:val="0044468F"/>
    <w:rsid w:val="00446ABE"/>
    <w:rsid w:val="00447FD1"/>
    <w:rsid w:val="00450DDB"/>
    <w:rsid w:val="00453DA1"/>
    <w:rsid w:val="00455568"/>
    <w:rsid w:val="004555A4"/>
    <w:rsid w:val="00457962"/>
    <w:rsid w:val="00461C1F"/>
    <w:rsid w:val="004620F4"/>
    <w:rsid w:val="004646A9"/>
    <w:rsid w:val="004659CD"/>
    <w:rsid w:val="00474EA3"/>
    <w:rsid w:val="00480C68"/>
    <w:rsid w:val="00480ED4"/>
    <w:rsid w:val="00481BD1"/>
    <w:rsid w:val="00481DED"/>
    <w:rsid w:val="00484485"/>
    <w:rsid w:val="00484619"/>
    <w:rsid w:val="0048535A"/>
    <w:rsid w:val="00487A32"/>
    <w:rsid w:val="00495EE8"/>
    <w:rsid w:val="004A00AF"/>
    <w:rsid w:val="004A06CD"/>
    <w:rsid w:val="004A0B3C"/>
    <w:rsid w:val="004A16F9"/>
    <w:rsid w:val="004A3A6D"/>
    <w:rsid w:val="004B059D"/>
    <w:rsid w:val="004B0FF8"/>
    <w:rsid w:val="004C0499"/>
    <w:rsid w:val="004C11BF"/>
    <w:rsid w:val="004C3148"/>
    <w:rsid w:val="004C6AE0"/>
    <w:rsid w:val="004C788B"/>
    <w:rsid w:val="004C79AC"/>
    <w:rsid w:val="004D6FE1"/>
    <w:rsid w:val="004D7D8E"/>
    <w:rsid w:val="004E0367"/>
    <w:rsid w:val="004E390E"/>
    <w:rsid w:val="004E4F96"/>
    <w:rsid w:val="004E6F42"/>
    <w:rsid w:val="004F1A97"/>
    <w:rsid w:val="004F467A"/>
    <w:rsid w:val="004F7814"/>
    <w:rsid w:val="00502661"/>
    <w:rsid w:val="00505366"/>
    <w:rsid w:val="0050547C"/>
    <w:rsid w:val="005133B4"/>
    <w:rsid w:val="00513851"/>
    <w:rsid w:val="00517B7F"/>
    <w:rsid w:val="00521AB0"/>
    <w:rsid w:val="00522C04"/>
    <w:rsid w:val="0052420A"/>
    <w:rsid w:val="005259AE"/>
    <w:rsid w:val="0053175C"/>
    <w:rsid w:val="0053449F"/>
    <w:rsid w:val="00534C0F"/>
    <w:rsid w:val="00535EB0"/>
    <w:rsid w:val="00536C15"/>
    <w:rsid w:val="00544F02"/>
    <w:rsid w:val="0054509B"/>
    <w:rsid w:val="00546564"/>
    <w:rsid w:val="00552369"/>
    <w:rsid w:val="00553D6F"/>
    <w:rsid w:val="005554B1"/>
    <w:rsid w:val="00557DD4"/>
    <w:rsid w:val="00561612"/>
    <w:rsid w:val="00561B37"/>
    <w:rsid w:val="00561C78"/>
    <w:rsid w:val="00561E32"/>
    <w:rsid w:val="00564E98"/>
    <w:rsid w:val="00565AD2"/>
    <w:rsid w:val="00565D80"/>
    <w:rsid w:val="00565FBA"/>
    <w:rsid w:val="00573900"/>
    <w:rsid w:val="005757CC"/>
    <w:rsid w:val="00575C8D"/>
    <w:rsid w:val="00581014"/>
    <w:rsid w:val="00581DF8"/>
    <w:rsid w:val="00583E8C"/>
    <w:rsid w:val="00584CFD"/>
    <w:rsid w:val="00585578"/>
    <w:rsid w:val="0058635B"/>
    <w:rsid w:val="0059567F"/>
    <w:rsid w:val="005A24B9"/>
    <w:rsid w:val="005A3813"/>
    <w:rsid w:val="005A4866"/>
    <w:rsid w:val="005A4E79"/>
    <w:rsid w:val="005A66A4"/>
    <w:rsid w:val="005B3B6B"/>
    <w:rsid w:val="005B422C"/>
    <w:rsid w:val="005B4A14"/>
    <w:rsid w:val="005B4A1C"/>
    <w:rsid w:val="005B5575"/>
    <w:rsid w:val="005B72F1"/>
    <w:rsid w:val="005C0B8B"/>
    <w:rsid w:val="005C39B9"/>
    <w:rsid w:val="005C3A5F"/>
    <w:rsid w:val="005C49DA"/>
    <w:rsid w:val="005D0523"/>
    <w:rsid w:val="005D190D"/>
    <w:rsid w:val="005D2930"/>
    <w:rsid w:val="005D4F04"/>
    <w:rsid w:val="005D58DE"/>
    <w:rsid w:val="005D6456"/>
    <w:rsid w:val="005D6CFA"/>
    <w:rsid w:val="005D7C86"/>
    <w:rsid w:val="005E0B08"/>
    <w:rsid w:val="005E40C7"/>
    <w:rsid w:val="005E6584"/>
    <w:rsid w:val="005E78C5"/>
    <w:rsid w:val="005E7967"/>
    <w:rsid w:val="005F09A6"/>
    <w:rsid w:val="005F6A70"/>
    <w:rsid w:val="005F6F19"/>
    <w:rsid w:val="00600FE0"/>
    <w:rsid w:val="00601578"/>
    <w:rsid w:val="0060177F"/>
    <w:rsid w:val="006055E6"/>
    <w:rsid w:val="006219F2"/>
    <w:rsid w:val="0063607A"/>
    <w:rsid w:val="0063674E"/>
    <w:rsid w:val="00636BD1"/>
    <w:rsid w:val="00641E37"/>
    <w:rsid w:val="0064217E"/>
    <w:rsid w:val="00643361"/>
    <w:rsid w:val="00645CBE"/>
    <w:rsid w:val="006472C1"/>
    <w:rsid w:val="0064756B"/>
    <w:rsid w:val="00651CA6"/>
    <w:rsid w:val="00656CC4"/>
    <w:rsid w:val="00657408"/>
    <w:rsid w:val="00657D64"/>
    <w:rsid w:val="006607BF"/>
    <w:rsid w:val="00664AE1"/>
    <w:rsid w:val="00666594"/>
    <w:rsid w:val="00666AEB"/>
    <w:rsid w:val="0066726F"/>
    <w:rsid w:val="00670067"/>
    <w:rsid w:val="0067090B"/>
    <w:rsid w:val="00675846"/>
    <w:rsid w:val="00680AAD"/>
    <w:rsid w:val="006832E2"/>
    <w:rsid w:val="00694D45"/>
    <w:rsid w:val="00696169"/>
    <w:rsid w:val="00697BED"/>
    <w:rsid w:val="006A0B52"/>
    <w:rsid w:val="006A3A31"/>
    <w:rsid w:val="006A48F4"/>
    <w:rsid w:val="006B1BFF"/>
    <w:rsid w:val="006B1EE2"/>
    <w:rsid w:val="006B2889"/>
    <w:rsid w:val="006C2C9F"/>
    <w:rsid w:val="006C332B"/>
    <w:rsid w:val="006D0CD0"/>
    <w:rsid w:val="006D2CD4"/>
    <w:rsid w:val="006D5089"/>
    <w:rsid w:val="006D54FC"/>
    <w:rsid w:val="006D60D4"/>
    <w:rsid w:val="006D6A2A"/>
    <w:rsid w:val="006E1F60"/>
    <w:rsid w:val="006E52B7"/>
    <w:rsid w:val="006E577F"/>
    <w:rsid w:val="006F008D"/>
    <w:rsid w:val="006F11E2"/>
    <w:rsid w:val="006F68A7"/>
    <w:rsid w:val="006F71BC"/>
    <w:rsid w:val="00701F4A"/>
    <w:rsid w:val="0070313A"/>
    <w:rsid w:val="0070717D"/>
    <w:rsid w:val="00710677"/>
    <w:rsid w:val="00711D16"/>
    <w:rsid w:val="00712252"/>
    <w:rsid w:val="00714CB5"/>
    <w:rsid w:val="00715B2C"/>
    <w:rsid w:val="007175F3"/>
    <w:rsid w:val="007203B4"/>
    <w:rsid w:val="00720D0D"/>
    <w:rsid w:val="0072166A"/>
    <w:rsid w:val="00725CCD"/>
    <w:rsid w:val="00725FFB"/>
    <w:rsid w:val="00727E2A"/>
    <w:rsid w:val="00727FC0"/>
    <w:rsid w:val="00730C10"/>
    <w:rsid w:val="00733AA2"/>
    <w:rsid w:val="007340F2"/>
    <w:rsid w:val="00734FC1"/>
    <w:rsid w:val="00735058"/>
    <w:rsid w:val="007403CB"/>
    <w:rsid w:val="00742D87"/>
    <w:rsid w:val="00742EE6"/>
    <w:rsid w:val="00743F25"/>
    <w:rsid w:val="00744416"/>
    <w:rsid w:val="00745055"/>
    <w:rsid w:val="0074632A"/>
    <w:rsid w:val="007535B0"/>
    <w:rsid w:val="007548DD"/>
    <w:rsid w:val="007643A6"/>
    <w:rsid w:val="00765617"/>
    <w:rsid w:val="00766F27"/>
    <w:rsid w:val="00767F68"/>
    <w:rsid w:val="00770A85"/>
    <w:rsid w:val="00770B3B"/>
    <w:rsid w:val="007711D3"/>
    <w:rsid w:val="0077204B"/>
    <w:rsid w:val="007737A9"/>
    <w:rsid w:val="00773F9C"/>
    <w:rsid w:val="0077658F"/>
    <w:rsid w:val="00776E2D"/>
    <w:rsid w:val="007771A2"/>
    <w:rsid w:val="00780C74"/>
    <w:rsid w:val="00782777"/>
    <w:rsid w:val="00787C07"/>
    <w:rsid w:val="00791850"/>
    <w:rsid w:val="007953C4"/>
    <w:rsid w:val="0079692F"/>
    <w:rsid w:val="00797A92"/>
    <w:rsid w:val="007A11BE"/>
    <w:rsid w:val="007A21CF"/>
    <w:rsid w:val="007A31C2"/>
    <w:rsid w:val="007A3D5B"/>
    <w:rsid w:val="007A4234"/>
    <w:rsid w:val="007A6B69"/>
    <w:rsid w:val="007B6E8E"/>
    <w:rsid w:val="007C1EF2"/>
    <w:rsid w:val="007C5171"/>
    <w:rsid w:val="007C520B"/>
    <w:rsid w:val="007C58A2"/>
    <w:rsid w:val="007C5D45"/>
    <w:rsid w:val="007D16A0"/>
    <w:rsid w:val="007D2D9F"/>
    <w:rsid w:val="007D36E3"/>
    <w:rsid w:val="007D4D6B"/>
    <w:rsid w:val="007D5777"/>
    <w:rsid w:val="007D7E1C"/>
    <w:rsid w:val="007E603A"/>
    <w:rsid w:val="007E6C0E"/>
    <w:rsid w:val="007E6D0B"/>
    <w:rsid w:val="007E74C7"/>
    <w:rsid w:val="007F25DE"/>
    <w:rsid w:val="007F286C"/>
    <w:rsid w:val="007F54CA"/>
    <w:rsid w:val="007F6B38"/>
    <w:rsid w:val="0080082B"/>
    <w:rsid w:val="008013BA"/>
    <w:rsid w:val="00804598"/>
    <w:rsid w:val="0080693B"/>
    <w:rsid w:val="008102B4"/>
    <w:rsid w:val="00816D3D"/>
    <w:rsid w:val="00816F5A"/>
    <w:rsid w:val="00821C71"/>
    <w:rsid w:val="0082453F"/>
    <w:rsid w:val="00824628"/>
    <w:rsid w:val="008253B9"/>
    <w:rsid w:val="00830CA9"/>
    <w:rsid w:val="00830D55"/>
    <w:rsid w:val="00830E4C"/>
    <w:rsid w:val="0083203A"/>
    <w:rsid w:val="008324CF"/>
    <w:rsid w:val="00833071"/>
    <w:rsid w:val="008369DF"/>
    <w:rsid w:val="00837061"/>
    <w:rsid w:val="008376C1"/>
    <w:rsid w:val="00842674"/>
    <w:rsid w:val="008451B2"/>
    <w:rsid w:val="00846BF5"/>
    <w:rsid w:val="00853AAB"/>
    <w:rsid w:val="0085537F"/>
    <w:rsid w:val="0085546B"/>
    <w:rsid w:val="00855643"/>
    <w:rsid w:val="0085672D"/>
    <w:rsid w:val="00856F42"/>
    <w:rsid w:val="0086084D"/>
    <w:rsid w:val="00860B22"/>
    <w:rsid w:val="00873C1B"/>
    <w:rsid w:val="008748B3"/>
    <w:rsid w:val="00875475"/>
    <w:rsid w:val="00882489"/>
    <w:rsid w:val="008835F8"/>
    <w:rsid w:val="00892142"/>
    <w:rsid w:val="00892340"/>
    <w:rsid w:val="00892F3A"/>
    <w:rsid w:val="00893211"/>
    <w:rsid w:val="00894DEF"/>
    <w:rsid w:val="0089770A"/>
    <w:rsid w:val="008A15BB"/>
    <w:rsid w:val="008A2382"/>
    <w:rsid w:val="008A4E97"/>
    <w:rsid w:val="008B13BD"/>
    <w:rsid w:val="008B5ADE"/>
    <w:rsid w:val="008C0567"/>
    <w:rsid w:val="008C0709"/>
    <w:rsid w:val="008D067C"/>
    <w:rsid w:val="008D18F7"/>
    <w:rsid w:val="008E05B1"/>
    <w:rsid w:val="008E13E0"/>
    <w:rsid w:val="008E185F"/>
    <w:rsid w:val="008E228A"/>
    <w:rsid w:val="008E6B8D"/>
    <w:rsid w:val="008F2E30"/>
    <w:rsid w:val="008F6C7D"/>
    <w:rsid w:val="008F76DF"/>
    <w:rsid w:val="0090116F"/>
    <w:rsid w:val="00904E48"/>
    <w:rsid w:val="009069B6"/>
    <w:rsid w:val="00907045"/>
    <w:rsid w:val="00910A55"/>
    <w:rsid w:val="00910A8B"/>
    <w:rsid w:val="00912797"/>
    <w:rsid w:val="009136A1"/>
    <w:rsid w:val="00913E32"/>
    <w:rsid w:val="00920AA6"/>
    <w:rsid w:val="00921589"/>
    <w:rsid w:val="00923A78"/>
    <w:rsid w:val="0092547B"/>
    <w:rsid w:val="00925815"/>
    <w:rsid w:val="009279D0"/>
    <w:rsid w:val="00931B41"/>
    <w:rsid w:val="00933D0E"/>
    <w:rsid w:val="0093432A"/>
    <w:rsid w:val="00934CE8"/>
    <w:rsid w:val="00940F8F"/>
    <w:rsid w:val="0094249D"/>
    <w:rsid w:val="00942C55"/>
    <w:rsid w:val="00947F48"/>
    <w:rsid w:val="0095224A"/>
    <w:rsid w:val="00952E07"/>
    <w:rsid w:val="00957739"/>
    <w:rsid w:val="00964298"/>
    <w:rsid w:val="00964C94"/>
    <w:rsid w:val="0096637A"/>
    <w:rsid w:val="00966412"/>
    <w:rsid w:val="00967FCB"/>
    <w:rsid w:val="0097112A"/>
    <w:rsid w:val="00973719"/>
    <w:rsid w:val="00973C76"/>
    <w:rsid w:val="00974357"/>
    <w:rsid w:val="00974F3E"/>
    <w:rsid w:val="009753A5"/>
    <w:rsid w:val="00981AC0"/>
    <w:rsid w:val="00983649"/>
    <w:rsid w:val="00995B52"/>
    <w:rsid w:val="00997A6E"/>
    <w:rsid w:val="00997C66"/>
    <w:rsid w:val="00997DD6"/>
    <w:rsid w:val="00997EE7"/>
    <w:rsid w:val="009A0B0F"/>
    <w:rsid w:val="009A2C2C"/>
    <w:rsid w:val="009A47DB"/>
    <w:rsid w:val="009A6E61"/>
    <w:rsid w:val="009A78AA"/>
    <w:rsid w:val="009B1135"/>
    <w:rsid w:val="009B1909"/>
    <w:rsid w:val="009B29E4"/>
    <w:rsid w:val="009B35B0"/>
    <w:rsid w:val="009B4B96"/>
    <w:rsid w:val="009B6686"/>
    <w:rsid w:val="009C396F"/>
    <w:rsid w:val="009D0A1D"/>
    <w:rsid w:val="009E2028"/>
    <w:rsid w:val="009E4493"/>
    <w:rsid w:val="009F72C8"/>
    <w:rsid w:val="00A01058"/>
    <w:rsid w:val="00A05730"/>
    <w:rsid w:val="00A05BA5"/>
    <w:rsid w:val="00A11071"/>
    <w:rsid w:val="00A146F8"/>
    <w:rsid w:val="00A14DBD"/>
    <w:rsid w:val="00A21337"/>
    <w:rsid w:val="00A32450"/>
    <w:rsid w:val="00A32741"/>
    <w:rsid w:val="00A336BB"/>
    <w:rsid w:val="00A36504"/>
    <w:rsid w:val="00A36ECF"/>
    <w:rsid w:val="00A37AE4"/>
    <w:rsid w:val="00A42E6C"/>
    <w:rsid w:val="00A44C55"/>
    <w:rsid w:val="00A460B1"/>
    <w:rsid w:val="00A46519"/>
    <w:rsid w:val="00A516A6"/>
    <w:rsid w:val="00A53768"/>
    <w:rsid w:val="00A55E29"/>
    <w:rsid w:val="00A55FF7"/>
    <w:rsid w:val="00A61B9D"/>
    <w:rsid w:val="00A62086"/>
    <w:rsid w:val="00A62F9C"/>
    <w:rsid w:val="00A66BF7"/>
    <w:rsid w:val="00A71B08"/>
    <w:rsid w:val="00A730D6"/>
    <w:rsid w:val="00A7420A"/>
    <w:rsid w:val="00A74683"/>
    <w:rsid w:val="00A76C30"/>
    <w:rsid w:val="00A81315"/>
    <w:rsid w:val="00A8747F"/>
    <w:rsid w:val="00A90F8E"/>
    <w:rsid w:val="00A9134C"/>
    <w:rsid w:val="00A934CB"/>
    <w:rsid w:val="00A94A2E"/>
    <w:rsid w:val="00A95188"/>
    <w:rsid w:val="00A96C17"/>
    <w:rsid w:val="00A97EE0"/>
    <w:rsid w:val="00AA4880"/>
    <w:rsid w:val="00AA5DDF"/>
    <w:rsid w:val="00AA7184"/>
    <w:rsid w:val="00AB129B"/>
    <w:rsid w:val="00AB2346"/>
    <w:rsid w:val="00AB302F"/>
    <w:rsid w:val="00AB5247"/>
    <w:rsid w:val="00AB58AE"/>
    <w:rsid w:val="00AB5C59"/>
    <w:rsid w:val="00AB5D3F"/>
    <w:rsid w:val="00AB79AD"/>
    <w:rsid w:val="00AC07AA"/>
    <w:rsid w:val="00AC6A78"/>
    <w:rsid w:val="00AD2F32"/>
    <w:rsid w:val="00AD3AA9"/>
    <w:rsid w:val="00AD3EB7"/>
    <w:rsid w:val="00AD670C"/>
    <w:rsid w:val="00AE3D93"/>
    <w:rsid w:val="00AE3F91"/>
    <w:rsid w:val="00AE6836"/>
    <w:rsid w:val="00AF524C"/>
    <w:rsid w:val="00AF5572"/>
    <w:rsid w:val="00AF624B"/>
    <w:rsid w:val="00B043D1"/>
    <w:rsid w:val="00B05699"/>
    <w:rsid w:val="00B05B21"/>
    <w:rsid w:val="00B11973"/>
    <w:rsid w:val="00B12BE3"/>
    <w:rsid w:val="00B15523"/>
    <w:rsid w:val="00B20B13"/>
    <w:rsid w:val="00B23F1B"/>
    <w:rsid w:val="00B2491A"/>
    <w:rsid w:val="00B24C51"/>
    <w:rsid w:val="00B27AC3"/>
    <w:rsid w:val="00B31058"/>
    <w:rsid w:val="00B32A44"/>
    <w:rsid w:val="00B353B8"/>
    <w:rsid w:val="00B35789"/>
    <w:rsid w:val="00B367AD"/>
    <w:rsid w:val="00B36A28"/>
    <w:rsid w:val="00B40AFF"/>
    <w:rsid w:val="00B428D7"/>
    <w:rsid w:val="00B44EA9"/>
    <w:rsid w:val="00B4504B"/>
    <w:rsid w:val="00B455E2"/>
    <w:rsid w:val="00B46A1D"/>
    <w:rsid w:val="00B5336E"/>
    <w:rsid w:val="00B61C86"/>
    <w:rsid w:val="00B627B1"/>
    <w:rsid w:val="00B62D6D"/>
    <w:rsid w:val="00B63C05"/>
    <w:rsid w:val="00B643D1"/>
    <w:rsid w:val="00B64467"/>
    <w:rsid w:val="00B669F4"/>
    <w:rsid w:val="00B72449"/>
    <w:rsid w:val="00B72B8A"/>
    <w:rsid w:val="00B751BB"/>
    <w:rsid w:val="00B767F3"/>
    <w:rsid w:val="00B841DA"/>
    <w:rsid w:val="00B84D60"/>
    <w:rsid w:val="00B85736"/>
    <w:rsid w:val="00B867C1"/>
    <w:rsid w:val="00B86F93"/>
    <w:rsid w:val="00B87D02"/>
    <w:rsid w:val="00B90773"/>
    <w:rsid w:val="00B9141B"/>
    <w:rsid w:val="00B94A65"/>
    <w:rsid w:val="00B94E8A"/>
    <w:rsid w:val="00B96998"/>
    <w:rsid w:val="00BA1433"/>
    <w:rsid w:val="00BA1C25"/>
    <w:rsid w:val="00BA483F"/>
    <w:rsid w:val="00BA4E23"/>
    <w:rsid w:val="00BA554F"/>
    <w:rsid w:val="00BA7456"/>
    <w:rsid w:val="00BB0692"/>
    <w:rsid w:val="00BB28E3"/>
    <w:rsid w:val="00BB4C51"/>
    <w:rsid w:val="00BB60A3"/>
    <w:rsid w:val="00BC3C01"/>
    <w:rsid w:val="00BC3F85"/>
    <w:rsid w:val="00BD2C11"/>
    <w:rsid w:val="00BD5AB5"/>
    <w:rsid w:val="00BD74AE"/>
    <w:rsid w:val="00BE01D9"/>
    <w:rsid w:val="00BE3321"/>
    <w:rsid w:val="00BE4871"/>
    <w:rsid w:val="00BE766A"/>
    <w:rsid w:val="00BF3554"/>
    <w:rsid w:val="00BF675C"/>
    <w:rsid w:val="00BF7312"/>
    <w:rsid w:val="00C02C11"/>
    <w:rsid w:val="00C0471C"/>
    <w:rsid w:val="00C04E1B"/>
    <w:rsid w:val="00C10759"/>
    <w:rsid w:val="00C1272F"/>
    <w:rsid w:val="00C12BB1"/>
    <w:rsid w:val="00C12BBB"/>
    <w:rsid w:val="00C13E40"/>
    <w:rsid w:val="00C15444"/>
    <w:rsid w:val="00C168CC"/>
    <w:rsid w:val="00C212C0"/>
    <w:rsid w:val="00C2161D"/>
    <w:rsid w:val="00C2332D"/>
    <w:rsid w:val="00C24FAC"/>
    <w:rsid w:val="00C30250"/>
    <w:rsid w:val="00C33352"/>
    <w:rsid w:val="00C3402F"/>
    <w:rsid w:val="00C40725"/>
    <w:rsid w:val="00C408CF"/>
    <w:rsid w:val="00C42A18"/>
    <w:rsid w:val="00C43952"/>
    <w:rsid w:val="00C43F36"/>
    <w:rsid w:val="00C44272"/>
    <w:rsid w:val="00C442AF"/>
    <w:rsid w:val="00C45E64"/>
    <w:rsid w:val="00C46C38"/>
    <w:rsid w:val="00C51E3E"/>
    <w:rsid w:val="00C51EE8"/>
    <w:rsid w:val="00C6005C"/>
    <w:rsid w:val="00C60874"/>
    <w:rsid w:val="00C62083"/>
    <w:rsid w:val="00C6234F"/>
    <w:rsid w:val="00C627BB"/>
    <w:rsid w:val="00C62C66"/>
    <w:rsid w:val="00C70E5B"/>
    <w:rsid w:val="00C72572"/>
    <w:rsid w:val="00C72849"/>
    <w:rsid w:val="00C73E17"/>
    <w:rsid w:val="00C75D44"/>
    <w:rsid w:val="00C83069"/>
    <w:rsid w:val="00C84064"/>
    <w:rsid w:val="00C84A08"/>
    <w:rsid w:val="00C85DC8"/>
    <w:rsid w:val="00C872E9"/>
    <w:rsid w:val="00C95958"/>
    <w:rsid w:val="00C9755C"/>
    <w:rsid w:val="00CA071C"/>
    <w:rsid w:val="00CA0E35"/>
    <w:rsid w:val="00CA1350"/>
    <w:rsid w:val="00CA147E"/>
    <w:rsid w:val="00CA24B2"/>
    <w:rsid w:val="00CA62EE"/>
    <w:rsid w:val="00CA657E"/>
    <w:rsid w:val="00CB4750"/>
    <w:rsid w:val="00CB613D"/>
    <w:rsid w:val="00CB6743"/>
    <w:rsid w:val="00CC0DD4"/>
    <w:rsid w:val="00CC20CF"/>
    <w:rsid w:val="00CC2517"/>
    <w:rsid w:val="00CC4F3B"/>
    <w:rsid w:val="00CC65F9"/>
    <w:rsid w:val="00CC688E"/>
    <w:rsid w:val="00CC7DC3"/>
    <w:rsid w:val="00CD1EA0"/>
    <w:rsid w:val="00CD226A"/>
    <w:rsid w:val="00CD31C9"/>
    <w:rsid w:val="00CD4CAB"/>
    <w:rsid w:val="00CE103D"/>
    <w:rsid w:val="00CE2873"/>
    <w:rsid w:val="00CE7727"/>
    <w:rsid w:val="00CF09B6"/>
    <w:rsid w:val="00CF2F22"/>
    <w:rsid w:val="00CF5012"/>
    <w:rsid w:val="00CF67FE"/>
    <w:rsid w:val="00D01844"/>
    <w:rsid w:val="00D02531"/>
    <w:rsid w:val="00D03B9C"/>
    <w:rsid w:val="00D05326"/>
    <w:rsid w:val="00D10C2E"/>
    <w:rsid w:val="00D116E0"/>
    <w:rsid w:val="00D134F4"/>
    <w:rsid w:val="00D1407F"/>
    <w:rsid w:val="00D258FB"/>
    <w:rsid w:val="00D36956"/>
    <w:rsid w:val="00D37B16"/>
    <w:rsid w:val="00D42786"/>
    <w:rsid w:val="00D466F6"/>
    <w:rsid w:val="00D50C40"/>
    <w:rsid w:val="00D51BDE"/>
    <w:rsid w:val="00D51FD5"/>
    <w:rsid w:val="00D51FED"/>
    <w:rsid w:val="00D520A5"/>
    <w:rsid w:val="00D53936"/>
    <w:rsid w:val="00D54E4D"/>
    <w:rsid w:val="00D55C78"/>
    <w:rsid w:val="00D607B7"/>
    <w:rsid w:val="00D62028"/>
    <w:rsid w:val="00D64CEF"/>
    <w:rsid w:val="00D6649F"/>
    <w:rsid w:val="00D723D1"/>
    <w:rsid w:val="00D76C72"/>
    <w:rsid w:val="00D8062B"/>
    <w:rsid w:val="00D80C9F"/>
    <w:rsid w:val="00D82C79"/>
    <w:rsid w:val="00D836E1"/>
    <w:rsid w:val="00D8388C"/>
    <w:rsid w:val="00D8589C"/>
    <w:rsid w:val="00D860CF"/>
    <w:rsid w:val="00D95A73"/>
    <w:rsid w:val="00D9715C"/>
    <w:rsid w:val="00DA0129"/>
    <w:rsid w:val="00DA2BF2"/>
    <w:rsid w:val="00DA3149"/>
    <w:rsid w:val="00DA3330"/>
    <w:rsid w:val="00DA56CD"/>
    <w:rsid w:val="00DA6D2C"/>
    <w:rsid w:val="00DB5A13"/>
    <w:rsid w:val="00DB5FE5"/>
    <w:rsid w:val="00DB6B51"/>
    <w:rsid w:val="00DB6BBC"/>
    <w:rsid w:val="00DB7955"/>
    <w:rsid w:val="00DC69D1"/>
    <w:rsid w:val="00DD10E4"/>
    <w:rsid w:val="00DD119E"/>
    <w:rsid w:val="00DD2D32"/>
    <w:rsid w:val="00DD49FE"/>
    <w:rsid w:val="00DD4CF7"/>
    <w:rsid w:val="00DD5F28"/>
    <w:rsid w:val="00DD6C36"/>
    <w:rsid w:val="00DD6D2D"/>
    <w:rsid w:val="00DE09E5"/>
    <w:rsid w:val="00DE0AC5"/>
    <w:rsid w:val="00DE2EC2"/>
    <w:rsid w:val="00DF166D"/>
    <w:rsid w:val="00DF19E5"/>
    <w:rsid w:val="00DF2448"/>
    <w:rsid w:val="00DF6D3C"/>
    <w:rsid w:val="00DF717C"/>
    <w:rsid w:val="00DF73E8"/>
    <w:rsid w:val="00E00415"/>
    <w:rsid w:val="00E062BF"/>
    <w:rsid w:val="00E07F7C"/>
    <w:rsid w:val="00E11436"/>
    <w:rsid w:val="00E118CB"/>
    <w:rsid w:val="00E139E4"/>
    <w:rsid w:val="00E1544B"/>
    <w:rsid w:val="00E15CE1"/>
    <w:rsid w:val="00E176D0"/>
    <w:rsid w:val="00E23A05"/>
    <w:rsid w:val="00E3129F"/>
    <w:rsid w:val="00E37906"/>
    <w:rsid w:val="00E40DCA"/>
    <w:rsid w:val="00E42FD3"/>
    <w:rsid w:val="00E464E0"/>
    <w:rsid w:val="00E46804"/>
    <w:rsid w:val="00E55DA0"/>
    <w:rsid w:val="00E60F88"/>
    <w:rsid w:val="00E62DB3"/>
    <w:rsid w:val="00E6388C"/>
    <w:rsid w:val="00E74B5F"/>
    <w:rsid w:val="00E75063"/>
    <w:rsid w:val="00E8161B"/>
    <w:rsid w:val="00E81BB5"/>
    <w:rsid w:val="00E84821"/>
    <w:rsid w:val="00E878AD"/>
    <w:rsid w:val="00E87FF7"/>
    <w:rsid w:val="00E90274"/>
    <w:rsid w:val="00E9636F"/>
    <w:rsid w:val="00E965AB"/>
    <w:rsid w:val="00EA67A1"/>
    <w:rsid w:val="00EB0676"/>
    <w:rsid w:val="00EB1346"/>
    <w:rsid w:val="00EB17ED"/>
    <w:rsid w:val="00EB23A9"/>
    <w:rsid w:val="00EB5B48"/>
    <w:rsid w:val="00EB7302"/>
    <w:rsid w:val="00EC51D8"/>
    <w:rsid w:val="00ED1D08"/>
    <w:rsid w:val="00ED1FA6"/>
    <w:rsid w:val="00ED4074"/>
    <w:rsid w:val="00EE0866"/>
    <w:rsid w:val="00EE23E2"/>
    <w:rsid w:val="00EE37C7"/>
    <w:rsid w:val="00EE3FBF"/>
    <w:rsid w:val="00EE6D4A"/>
    <w:rsid w:val="00EE75BA"/>
    <w:rsid w:val="00EE78AB"/>
    <w:rsid w:val="00EF20EA"/>
    <w:rsid w:val="00EF2890"/>
    <w:rsid w:val="00EF411F"/>
    <w:rsid w:val="00EF70A5"/>
    <w:rsid w:val="00EF7AC5"/>
    <w:rsid w:val="00F00260"/>
    <w:rsid w:val="00F00A82"/>
    <w:rsid w:val="00F06B12"/>
    <w:rsid w:val="00F10425"/>
    <w:rsid w:val="00F11C12"/>
    <w:rsid w:val="00F133D3"/>
    <w:rsid w:val="00F13702"/>
    <w:rsid w:val="00F1426E"/>
    <w:rsid w:val="00F164C1"/>
    <w:rsid w:val="00F16D14"/>
    <w:rsid w:val="00F237F2"/>
    <w:rsid w:val="00F35CE0"/>
    <w:rsid w:val="00F41A5B"/>
    <w:rsid w:val="00F41A91"/>
    <w:rsid w:val="00F43EB2"/>
    <w:rsid w:val="00F44444"/>
    <w:rsid w:val="00F458F6"/>
    <w:rsid w:val="00F46AD4"/>
    <w:rsid w:val="00F51644"/>
    <w:rsid w:val="00F546C1"/>
    <w:rsid w:val="00F56220"/>
    <w:rsid w:val="00F56624"/>
    <w:rsid w:val="00F61689"/>
    <w:rsid w:val="00F63543"/>
    <w:rsid w:val="00F63EBC"/>
    <w:rsid w:val="00F64431"/>
    <w:rsid w:val="00F6701D"/>
    <w:rsid w:val="00F67DA4"/>
    <w:rsid w:val="00F72A25"/>
    <w:rsid w:val="00F7550A"/>
    <w:rsid w:val="00F75BCC"/>
    <w:rsid w:val="00F77B8F"/>
    <w:rsid w:val="00F80A5F"/>
    <w:rsid w:val="00F819AE"/>
    <w:rsid w:val="00F87C50"/>
    <w:rsid w:val="00F901A3"/>
    <w:rsid w:val="00F91FBD"/>
    <w:rsid w:val="00F9226D"/>
    <w:rsid w:val="00F94479"/>
    <w:rsid w:val="00FA2159"/>
    <w:rsid w:val="00FA433D"/>
    <w:rsid w:val="00FA4F4E"/>
    <w:rsid w:val="00FA7FD6"/>
    <w:rsid w:val="00FB2107"/>
    <w:rsid w:val="00FB2684"/>
    <w:rsid w:val="00FB46AA"/>
    <w:rsid w:val="00FB5224"/>
    <w:rsid w:val="00FB6D70"/>
    <w:rsid w:val="00FB6DCF"/>
    <w:rsid w:val="00FC1A75"/>
    <w:rsid w:val="00FC3E05"/>
    <w:rsid w:val="00FC49ED"/>
    <w:rsid w:val="00FC62C3"/>
    <w:rsid w:val="00FC70F8"/>
    <w:rsid w:val="00FD014C"/>
    <w:rsid w:val="00FD3B84"/>
    <w:rsid w:val="00FD3D9D"/>
    <w:rsid w:val="00FE1445"/>
    <w:rsid w:val="00FE590E"/>
    <w:rsid w:val="00FF18DE"/>
    <w:rsid w:val="00FF3E19"/>
    <w:rsid w:val="02B31604"/>
    <w:rsid w:val="038A0641"/>
    <w:rsid w:val="05CF6F77"/>
    <w:rsid w:val="07A34084"/>
    <w:rsid w:val="09716823"/>
    <w:rsid w:val="0A1222F2"/>
    <w:rsid w:val="0A79278A"/>
    <w:rsid w:val="0B5E0480"/>
    <w:rsid w:val="116716F4"/>
    <w:rsid w:val="13511AFE"/>
    <w:rsid w:val="16276847"/>
    <w:rsid w:val="1CFB4623"/>
    <w:rsid w:val="1ED77032"/>
    <w:rsid w:val="22165275"/>
    <w:rsid w:val="24581A0C"/>
    <w:rsid w:val="25DF39FE"/>
    <w:rsid w:val="26DF61BB"/>
    <w:rsid w:val="280D5FE5"/>
    <w:rsid w:val="29570DC3"/>
    <w:rsid w:val="295A396B"/>
    <w:rsid w:val="297B6A7C"/>
    <w:rsid w:val="2F216341"/>
    <w:rsid w:val="2F854A06"/>
    <w:rsid w:val="35B66499"/>
    <w:rsid w:val="36F16B62"/>
    <w:rsid w:val="38534C13"/>
    <w:rsid w:val="387860D4"/>
    <w:rsid w:val="39B37311"/>
    <w:rsid w:val="3A7943F9"/>
    <w:rsid w:val="3A863F1B"/>
    <w:rsid w:val="3AD728B4"/>
    <w:rsid w:val="4082309D"/>
    <w:rsid w:val="41C305DF"/>
    <w:rsid w:val="434A113F"/>
    <w:rsid w:val="456A78ED"/>
    <w:rsid w:val="4596321D"/>
    <w:rsid w:val="4DF7261B"/>
    <w:rsid w:val="4FBB02BE"/>
    <w:rsid w:val="50BE3CAD"/>
    <w:rsid w:val="51B85833"/>
    <w:rsid w:val="52537453"/>
    <w:rsid w:val="531E4D2C"/>
    <w:rsid w:val="5325200B"/>
    <w:rsid w:val="58CB741D"/>
    <w:rsid w:val="59033CC5"/>
    <w:rsid w:val="5948379E"/>
    <w:rsid w:val="5ACD0280"/>
    <w:rsid w:val="5C4C006A"/>
    <w:rsid w:val="5DE7352E"/>
    <w:rsid w:val="68954239"/>
    <w:rsid w:val="694F770D"/>
    <w:rsid w:val="698E48BA"/>
    <w:rsid w:val="6C943A98"/>
    <w:rsid w:val="6D1E0D03"/>
    <w:rsid w:val="6DA51F5D"/>
    <w:rsid w:val="72431D4F"/>
    <w:rsid w:val="734F7159"/>
    <w:rsid w:val="73B361A7"/>
    <w:rsid w:val="74260BBE"/>
    <w:rsid w:val="74CF2DF3"/>
    <w:rsid w:val="75302497"/>
    <w:rsid w:val="75B4170A"/>
    <w:rsid w:val="774701AF"/>
    <w:rsid w:val="78FA283A"/>
    <w:rsid w:val="7ABD3809"/>
    <w:rsid w:val="7D22104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uiPriority w:val="0"/>
  </w:style>
  <w:style w:type="table" w:default="1" w:styleId="10">
    <w:name w:val="Normal Table"/>
    <w:semiHidden/>
    <w:uiPriority w:val="0"/>
    <w:tblPr>
      <w:tblStyle w:val="10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uiPriority w:val="0"/>
    <w:pPr>
      <w:jc w:val="left"/>
    </w:pPr>
  </w:style>
  <w:style w:type="paragraph" w:styleId="3">
    <w:name w:val="Plain Text"/>
    <w:basedOn w:val="1"/>
    <w:link w:val="17"/>
    <w:uiPriority w:val="0"/>
    <w:rPr>
      <w:rFonts w:ascii="宋体" w:hAnsi="Courier New"/>
      <w:szCs w:val="20"/>
    </w:rPr>
  </w:style>
  <w:style w:type="paragraph" w:styleId="4">
    <w:name w:val="Body Text Indent 2"/>
    <w:basedOn w:val="1"/>
    <w:link w:val="18"/>
    <w:uiPriority w:val="0"/>
    <w:pPr>
      <w:spacing w:line="600" w:lineRule="exact"/>
      <w:ind w:firstLine="646"/>
    </w:pPr>
    <w:rPr>
      <w:rFonts w:ascii="仿宋_GB2312" w:eastAsia="仿宋_GB2312"/>
      <w:sz w:val="32"/>
      <w:szCs w:val="20"/>
    </w:rPr>
  </w:style>
  <w:style w:type="paragraph" w:styleId="5">
    <w:name w:val="Balloon Text"/>
    <w:basedOn w:val="1"/>
    <w:semiHidden/>
    <w:uiPriority w:val="0"/>
    <w:rPr>
      <w:sz w:val="18"/>
      <w:szCs w:val="18"/>
    </w:rPr>
  </w:style>
  <w:style w:type="paragraph" w:styleId="6">
    <w:name w:val="footer"/>
    <w:basedOn w:val="1"/>
    <w:link w:val="1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9">
    <w:name w:val="annotation subject"/>
    <w:basedOn w:val="2"/>
    <w:next w:val="2"/>
    <w:link w:val="21"/>
    <w:uiPriority w:val="0"/>
    <w:rPr>
      <w:b/>
      <w:bCs/>
    </w:rPr>
  </w:style>
  <w:style w:type="table" w:styleId="11">
    <w:name w:val="Table Grid"/>
    <w:basedOn w:val="10"/>
    <w:uiPriority w:val="0"/>
    <w:pPr>
      <w:widowControl w:val="0"/>
      <w:jc w:val="both"/>
    </w:pPr>
    <w:tblPr>
      <w:tblStyle w:val="10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uiPriority w:val="0"/>
  </w:style>
  <w:style w:type="character" w:styleId="14">
    <w:name w:val="Hyperlink"/>
    <w:uiPriority w:val="0"/>
    <w:rPr>
      <w:color w:val="0000FF"/>
      <w:u w:val="single"/>
    </w:rPr>
  </w:style>
  <w:style w:type="character" w:styleId="15">
    <w:name w:val="annotation reference"/>
    <w:uiPriority w:val="0"/>
    <w:rPr>
      <w:sz w:val="21"/>
      <w:szCs w:val="21"/>
    </w:rPr>
  </w:style>
  <w:style w:type="character" w:customStyle="1" w:styleId="16">
    <w:name w:val="批注文字 字符"/>
    <w:link w:val="2"/>
    <w:uiPriority w:val="0"/>
    <w:rPr>
      <w:kern w:val="2"/>
      <w:sz w:val="21"/>
      <w:szCs w:val="24"/>
    </w:rPr>
  </w:style>
  <w:style w:type="character" w:customStyle="1" w:styleId="17">
    <w:name w:val="纯文本 字符"/>
    <w:link w:val="3"/>
    <w:uiPriority w:val="0"/>
    <w:rPr>
      <w:rFonts w:ascii="宋体" w:hAnsi="Courier New"/>
      <w:kern w:val="2"/>
      <w:sz w:val="21"/>
    </w:rPr>
  </w:style>
  <w:style w:type="character" w:customStyle="1" w:styleId="18">
    <w:name w:val="正文文本缩进 2 字符"/>
    <w:link w:val="4"/>
    <w:uiPriority w:val="0"/>
    <w:rPr>
      <w:rFonts w:ascii="仿宋_GB2312" w:eastAsia="仿宋_GB2312"/>
      <w:kern w:val="2"/>
      <w:sz w:val="32"/>
    </w:rPr>
  </w:style>
  <w:style w:type="character" w:customStyle="1" w:styleId="19">
    <w:name w:val="页脚 字符"/>
    <w:link w:val="6"/>
    <w:uiPriority w:val="99"/>
    <w:rPr>
      <w:kern w:val="2"/>
      <w:sz w:val="18"/>
      <w:szCs w:val="18"/>
    </w:rPr>
  </w:style>
  <w:style w:type="character" w:customStyle="1" w:styleId="20">
    <w:name w:val="页眉 字符"/>
    <w:link w:val="7"/>
    <w:uiPriority w:val="0"/>
    <w:rPr>
      <w:kern w:val="2"/>
      <w:sz w:val="18"/>
      <w:szCs w:val="18"/>
    </w:rPr>
  </w:style>
  <w:style w:type="character" w:customStyle="1" w:styleId="21">
    <w:name w:val="批注主题 字符"/>
    <w:link w:val="9"/>
    <w:uiPriority w:val="0"/>
    <w:rPr>
      <w:b/>
      <w:bCs/>
      <w:kern w:val="2"/>
      <w:sz w:val="21"/>
      <w:szCs w:val="24"/>
    </w:rPr>
  </w:style>
  <w:style w:type="paragraph" w:customStyle="1" w:styleId="22">
    <w:name w:val=" Char Char Char Char Char Char Char Char Char"/>
    <w:basedOn w:val="1"/>
    <w:uiPriority w:val="0"/>
    <w:pPr>
      <w:numPr>
        <w:ilvl w:val="0"/>
        <w:numId w:val="1"/>
      </w:numPr>
    </w:pPr>
    <w:rPr>
      <w:sz w:val="24"/>
    </w:rPr>
  </w:style>
  <w:style w:type="paragraph" w:customStyle="1" w:styleId="23">
    <w:name w:val="CM5"/>
    <w:basedOn w:val="1"/>
    <w:next w:val="1"/>
    <w:uiPriority w:val="0"/>
    <w:pPr>
      <w:autoSpaceDE w:val="0"/>
      <w:autoSpaceDN w:val="0"/>
      <w:adjustRightInd w:val="0"/>
      <w:spacing w:line="520" w:lineRule="atLeast"/>
      <w:jc w:val="left"/>
    </w:pPr>
    <w:rPr>
      <w:rFonts w:ascii="..ì." w:eastAsia="..ì."/>
      <w:kern w:val="0"/>
      <w:sz w:val="24"/>
    </w:rPr>
  </w:style>
  <w:style w:type="paragraph" w:customStyle="1" w:styleId="24">
    <w:name w:val="Default"/>
    <w:uiPriority w:val="0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  <w:lang w:val="en-US" w:eastAsia="zh-CN" w:bidi="ar-SA"/>
    </w:rPr>
  </w:style>
  <w:style w:type="paragraph" w:customStyle="1" w:styleId="25">
    <w:name w:val="CM2"/>
    <w:basedOn w:val="24"/>
    <w:next w:val="24"/>
    <w:uiPriority w:val="0"/>
    <w:pPr>
      <w:spacing w:line="511" w:lineRule="atLeast"/>
    </w:pPr>
    <w:rPr>
      <w:rFonts w:cs="Times New Roman"/>
      <w:color w:val="auto"/>
    </w:rPr>
  </w:style>
  <w:style w:type="paragraph" w:customStyle="1" w:styleId="26">
    <w:name w:val="CM10"/>
    <w:basedOn w:val="24"/>
    <w:next w:val="24"/>
    <w:uiPriority w:val="0"/>
    <w:pPr>
      <w:spacing w:after="723"/>
    </w:pPr>
    <w:rPr>
      <w:rFonts w:ascii="黑体" w:eastAsia="黑体" w:cs="Times New Roman"/>
      <w:color w:val="auto"/>
    </w:rPr>
  </w:style>
  <w:style w:type="paragraph" w:customStyle="1" w:styleId="27">
    <w:name w:val="CM11"/>
    <w:basedOn w:val="1"/>
    <w:next w:val="1"/>
    <w:uiPriority w:val="0"/>
    <w:pPr>
      <w:autoSpaceDE w:val="0"/>
      <w:autoSpaceDN w:val="0"/>
      <w:adjustRightInd w:val="0"/>
      <w:spacing w:line="626" w:lineRule="atLeast"/>
      <w:jc w:val="left"/>
    </w:pPr>
    <w:rPr>
      <w:rFonts w:ascii="仿宋_GB2312" w:eastAsia="仿宋_GB2312"/>
      <w:kern w:val="0"/>
      <w:sz w:val="24"/>
    </w:rPr>
  </w:style>
  <w:style w:type="paragraph" w:customStyle="1" w:styleId="28">
    <w:name w:val="CM13"/>
    <w:basedOn w:val="1"/>
    <w:next w:val="1"/>
    <w:uiPriority w:val="0"/>
    <w:pPr>
      <w:autoSpaceDE w:val="0"/>
      <w:autoSpaceDN w:val="0"/>
      <w:adjustRightInd w:val="0"/>
      <w:spacing w:line="626" w:lineRule="atLeast"/>
      <w:jc w:val="left"/>
    </w:pPr>
    <w:rPr>
      <w:rFonts w:ascii="仿宋_GB2312" w:eastAsia="仿宋_GB2312"/>
      <w:kern w:val="0"/>
      <w:sz w:val="24"/>
    </w:rPr>
  </w:style>
  <w:style w:type="paragraph" w:customStyle="1" w:styleId="29">
    <w:name w:val="CM8"/>
    <w:basedOn w:val="24"/>
    <w:next w:val="24"/>
    <w:uiPriority w:val="0"/>
    <w:pPr>
      <w:spacing w:after="228"/>
    </w:pPr>
    <w:rPr>
      <w:color w:val="auto"/>
    </w:rPr>
  </w:style>
  <w:style w:type="paragraph" w:customStyle="1" w:styleId="30">
    <w:name w:val="CM1"/>
    <w:basedOn w:val="24"/>
    <w:next w:val="24"/>
    <w:uiPriority w:val="0"/>
    <w:rPr>
      <w:rFonts w:cs="Times New Roman"/>
      <w:color w:val="auto"/>
    </w:rPr>
  </w:style>
  <w:style w:type="paragraph" w:customStyle="1" w:styleId="31">
    <w:name w:val="CM3"/>
    <w:basedOn w:val="24"/>
    <w:next w:val="24"/>
    <w:uiPriority w:val="0"/>
    <w:pPr>
      <w:spacing w:line="468" w:lineRule="atLeast"/>
    </w:pPr>
    <w:rPr>
      <w:rFonts w:cs="Times New Roman"/>
      <w:color w:val="auto"/>
    </w:rPr>
  </w:style>
  <w:style w:type="paragraph" w:customStyle="1" w:styleId="32">
    <w:name w:val="CM4"/>
    <w:basedOn w:val="24"/>
    <w:next w:val="24"/>
    <w:uiPriority w:val="0"/>
    <w:pPr>
      <w:spacing w:line="468" w:lineRule="atLeast"/>
    </w:pPr>
    <w:rPr>
      <w:rFonts w:cs="Times New Roman"/>
      <w:color w:val="auto"/>
    </w:rPr>
  </w:style>
  <w:style w:type="paragraph" w:customStyle="1" w:styleId="33">
    <w:name w:val="CM6"/>
    <w:basedOn w:val="24"/>
    <w:next w:val="24"/>
    <w:uiPriority w:val="0"/>
    <w:pPr>
      <w:spacing w:line="468" w:lineRule="atLeast"/>
    </w:pPr>
    <w:rPr>
      <w:rFonts w:cs="Times New Roman"/>
      <w:color w:val="auto"/>
    </w:rPr>
  </w:style>
  <w:style w:type="paragraph" w:customStyle="1" w:styleId="34">
    <w:name w:val="CM12"/>
    <w:basedOn w:val="24"/>
    <w:next w:val="24"/>
    <w:uiPriority w:val="0"/>
    <w:pPr>
      <w:spacing w:after="193"/>
    </w:pPr>
    <w:rPr>
      <w:rFonts w:cs="Times New Roman"/>
      <w:color w:val="auto"/>
    </w:rPr>
  </w:style>
  <w:style w:type="paragraph" w:customStyle="1" w:styleId="35">
    <w:name w:val="CM9"/>
    <w:basedOn w:val="24"/>
    <w:next w:val="24"/>
    <w:uiPriority w:val="0"/>
    <w:rPr>
      <w:rFonts w:cs="Times New Roman"/>
      <w:color w:val="auto"/>
    </w:rPr>
  </w:style>
  <w:style w:type="paragraph" w:customStyle="1" w:styleId="36">
    <w:name w:val="CM15"/>
    <w:basedOn w:val="24"/>
    <w:next w:val="24"/>
    <w:uiPriority w:val="0"/>
    <w:pPr>
      <w:spacing w:after="338"/>
    </w:pPr>
    <w:rPr>
      <w:rFonts w:cs="Times New Roman"/>
      <w:color w:val="auto"/>
    </w:rPr>
  </w:style>
  <w:style w:type="paragraph" w:customStyle="1" w:styleId="37">
    <w:name w:val="CM17"/>
    <w:basedOn w:val="24"/>
    <w:next w:val="24"/>
    <w:uiPriority w:val="0"/>
    <w:pPr>
      <w:spacing w:after="188"/>
    </w:pPr>
    <w:rPr>
      <w:rFonts w:cs="Times New Roman"/>
      <w:color w:val="auto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675</Words>
  <Characters>3852</Characters>
  <Lines>32</Lines>
  <Paragraphs>9</Paragraphs>
  <TotalTime>3</TotalTime>
  <ScaleCrop>false</ScaleCrop>
  <LinksUpToDate>false</LinksUpToDate>
  <CharactersWithSpaces>4518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2018-10-29T09:59:00Z</dcterms:created>
  <dc:creator>张春红</dc:creator>
  <cp:lastModifiedBy>海涛</cp:lastModifiedBy>
  <cp:lastPrinted>2018-07-26T03:32:00Z</cp:lastPrinted>
  <dcterms:modified xsi:type="dcterms:W3CDTF">2024-05-17T09:12:07Z</dcterms:modified>
  <dc:title>证券代码：000881 证券简称：大连国际 公告编号：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F82D69C0ADAE44DAAA2EF48FD537503E_13</vt:lpwstr>
  </property>
</Properties>
</file>